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489" w:rsidRPr="0075748B" w:rsidRDefault="00E75489">
      <w:pPr>
        <w:rPr>
          <w:rFonts w:cs="Calibri"/>
          <w:color w:val="0083C1"/>
          <w:szCs w:val="18"/>
        </w:rPr>
      </w:pPr>
    </w:p>
    <w:p w:rsidR="005250A2" w:rsidRPr="0075748B" w:rsidRDefault="005250A2" w:rsidP="001C4C72">
      <w:pPr>
        <w:rPr>
          <w:rFonts w:cs="Calibri"/>
          <w:color w:val="0083C1"/>
          <w:szCs w:val="18"/>
        </w:rPr>
      </w:pPr>
    </w:p>
    <w:tbl>
      <w:tblPr>
        <w:tblpPr w:leftFromText="180" w:rightFromText="180" w:horzAnchor="margin" w:tblpXSpec="center" w:tblpY="450"/>
        <w:tblW w:w="6750" w:type="dxa"/>
        <w:tblBorders>
          <w:top w:val="single" w:sz="4" w:space="0" w:color="0083C1"/>
          <w:left w:val="single" w:sz="4" w:space="0" w:color="0083C1"/>
          <w:bottom w:val="single" w:sz="4" w:space="0" w:color="0083C1"/>
          <w:right w:val="single" w:sz="4" w:space="0" w:color="0083C1"/>
          <w:insideH w:val="single" w:sz="4" w:space="0" w:color="0083C1"/>
          <w:insideV w:val="single" w:sz="4" w:space="0" w:color="0083C1"/>
        </w:tblBorders>
        <w:tblCellMar>
          <w:top w:w="115" w:type="dxa"/>
          <w:left w:w="115" w:type="dxa"/>
          <w:bottom w:w="115" w:type="dxa"/>
          <w:right w:w="115" w:type="dxa"/>
        </w:tblCellMar>
        <w:tblLook w:val="04A0" w:firstRow="1" w:lastRow="0" w:firstColumn="1" w:lastColumn="0" w:noHBand="0" w:noVBand="1"/>
      </w:tblPr>
      <w:tblGrid>
        <w:gridCol w:w="6750"/>
      </w:tblGrid>
      <w:tr w:rsidR="00E75489" w:rsidRPr="00560875" w:rsidTr="00560875">
        <w:trPr>
          <w:trHeight w:val="868"/>
        </w:trPr>
        <w:tc>
          <w:tcPr>
            <w:tcW w:w="6750" w:type="dxa"/>
          </w:tcPr>
          <w:p w:rsidR="0075748B" w:rsidRPr="00560875" w:rsidRDefault="0075748B" w:rsidP="00560875">
            <w:pPr>
              <w:pStyle w:val="Default"/>
              <w:jc w:val="both"/>
              <w:rPr>
                <w:sz w:val="40"/>
                <w:szCs w:val="40"/>
              </w:rPr>
            </w:pPr>
          </w:p>
          <w:p w:rsidR="00742511" w:rsidRPr="00560875" w:rsidRDefault="001B2DAE" w:rsidP="00560875">
            <w:pPr>
              <w:spacing w:after="0" w:line="240" w:lineRule="auto"/>
              <w:ind w:left="10"/>
              <w:jc w:val="center"/>
              <w:rPr>
                <w:rFonts w:cs="Calibri"/>
                <w:b/>
                <w:color w:val="0083C1"/>
                <w:sz w:val="40"/>
                <w:szCs w:val="40"/>
              </w:rPr>
            </w:pPr>
            <w:r>
              <w:rPr>
                <w:b/>
                <w:color w:val="0083C1"/>
                <w:sz w:val="40"/>
              </w:rPr>
              <w:t xml:space="preserve">Банка получава </w:t>
            </w:r>
            <w:r w:rsidR="00442153">
              <w:rPr>
                <w:b/>
                <w:color w:val="0083C1"/>
                <w:sz w:val="40"/>
              </w:rPr>
              <w:t>одобрение</w:t>
            </w:r>
            <w:r>
              <w:rPr>
                <w:b/>
                <w:color w:val="0083C1"/>
                <w:sz w:val="40"/>
              </w:rPr>
              <w:t xml:space="preserve"> </w:t>
            </w:r>
          </w:p>
          <w:p w:rsidR="0075748B" w:rsidRPr="00560875" w:rsidRDefault="001B2DAE" w:rsidP="00560875">
            <w:pPr>
              <w:spacing w:after="0" w:line="240" w:lineRule="auto"/>
              <w:ind w:left="10"/>
              <w:jc w:val="center"/>
              <w:rPr>
                <w:rFonts w:cs="Calibri"/>
                <w:color w:val="0083C1"/>
                <w:sz w:val="40"/>
                <w:szCs w:val="40"/>
              </w:rPr>
            </w:pPr>
            <w:r>
              <w:rPr>
                <w:b/>
                <w:color w:val="0083C1"/>
                <w:sz w:val="40"/>
              </w:rPr>
              <w:t>от съседите</w:t>
            </w:r>
          </w:p>
          <w:p w:rsidR="0075748B" w:rsidRPr="00560875" w:rsidRDefault="001B2DAE" w:rsidP="00560875">
            <w:pPr>
              <w:spacing w:after="0" w:line="240" w:lineRule="auto"/>
              <w:ind w:left="10"/>
              <w:jc w:val="center"/>
              <w:rPr>
                <w:rFonts w:cs="Calibri"/>
                <w:color w:val="0083C1"/>
                <w:szCs w:val="18"/>
              </w:rPr>
            </w:pPr>
            <w:r>
              <w:rPr>
                <w:color w:val="0083C1"/>
              </w:rPr>
              <w:t xml:space="preserve">Crédit Agricole, Сен Силвиан, Франция </w:t>
            </w:r>
          </w:p>
          <w:p w:rsidR="00E377BC" w:rsidRPr="00560875" w:rsidRDefault="00E377BC" w:rsidP="00560875">
            <w:pPr>
              <w:spacing w:after="273" w:line="259" w:lineRule="auto"/>
              <w:jc w:val="center"/>
              <w:rPr>
                <w:rFonts w:cs="Calibri"/>
                <w:szCs w:val="18"/>
              </w:rPr>
            </w:pPr>
          </w:p>
        </w:tc>
      </w:tr>
    </w:tbl>
    <w:p w:rsidR="00E75489" w:rsidRPr="0075748B"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Calibri"/>
          <w:color w:val="0083C1"/>
          <w:szCs w:val="18"/>
        </w:rPr>
      </w:pPr>
    </w:p>
    <w:p w:rsidR="00E75489" w:rsidRPr="0075748B"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Calibri"/>
          <w:color w:val="0083C1"/>
          <w:szCs w:val="18"/>
        </w:rPr>
      </w:pPr>
    </w:p>
    <w:p w:rsidR="008E7DC9" w:rsidRPr="0075748B" w:rsidRDefault="008E7DC9" w:rsidP="008E7DC9">
      <w:pPr>
        <w:rPr>
          <w:rFonts w:cs="Calibri"/>
          <w:szCs w:val="18"/>
        </w:rPr>
      </w:pPr>
    </w:p>
    <w:p w:rsidR="0075748B" w:rsidRPr="0075748B" w:rsidRDefault="0075748B" w:rsidP="0075748B">
      <w:pPr>
        <w:spacing w:after="0" w:line="240" w:lineRule="auto"/>
        <w:ind w:left="10"/>
        <w:rPr>
          <w:rFonts w:cs="Calibri"/>
          <w:b/>
          <w:szCs w:val="18"/>
        </w:rPr>
      </w:pPr>
    </w:p>
    <w:p w:rsidR="0075748B" w:rsidRPr="0075748B" w:rsidRDefault="0075748B" w:rsidP="0075748B">
      <w:pPr>
        <w:spacing w:after="0" w:line="240" w:lineRule="auto"/>
        <w:ind w:left="10"/>
        <w:rPr>
          <w:rFonts w:cs="Calibri"/>
          <w:szCs w:val="18"/>
        </w:rPr>
      </w:pPr>
    </w:p>
    <w:p w:rsidR="0075748B" w:rsidRDefault="0075748B" w:rsidP="0075748B">
      <w:pPr>
        <w:spacing w:after="0" w:line="240" w:lineRule="auto"/>
        <w:ind w:left="10"/>
        <w:rPr>
          <w:rFonts w:cs="Calibri"/>
          <w:b/>
          <w:szCs w:val="18"/>
        </w:rPr>
      </w:pPr>
    </w:p>
    <w:p w:rsidR="0075748B" w:rsidRDefault="0075748B" w:rsidP="0075748B">
      <w:pPr>
        <w:spacing w:after="0" w:line="240" w:lineRule="auto"/>
        <w:ind w:left="10"/>
        <w:rPr>
          <w:rFonts w:cs="Calibri"/>
          <w:b/>
          <w:szCs w:val="18"/>
        </w:rPr>
      </w:pPr>
    </w:p>
    <w:p w:rsidR="0075748B" w:rsidRDefault="0075748B" w:rsidP="0075748B">
      <w:pPr>
        <w:spacing w:after="0" w:line="240" w:lineRule="auto"/>
        <w:ind w:left="10"/>
        <w:rPr>
          <w:rFonts w:cs="Calibri"/>
          <w:b/>
          <w:szCs w:val="18"/>
        </w:rPr>
      </w:pPr>
    </w:p>
    <w:p w:rsidR="0075748B" w:rsidRPr="0075748B" w:rsidRDefault="00AC1E8C" w:rsidP="0075748B">
      <w:pPr>
        <w:spacing w:after="0" w:line="240" w:lineRule="auto"/>
        <w:ind w:left="10"/>
        <w:rPr>
          <w:rFonts w:cs="Calibri"/>
          <w:b/>
          <w:color w:val="0083C1"/>
          <w:sz w:val="40"/>
          <w:szCs w:val="40"/>
        </w:rPr>
      </w:pPr>
      <w:r>
        <w:rPr>
          <w:b/>
          <w:color w:val="0083C1"/>
          <w:sz w:val="40"/>
        </w:rPr>
        <w:t>В н</w:t>
      </w:r>
      <w:r w:rsidR="001B2DAE">
        <w:rPr>
          <w:b/>
          <w:color w:val="0083C1"/>
          <w:sz w:val="40"/>
        </w:rPr>
        <w:t xml:space="preserve">ов клон на Crédit Agricole в провинция Сен Силвиан д'Анжу в Западна Франция </w:t>
      </w:r>
      <w:r>
        <w:rPr>
          <w:b/>
          <w:color w:val="0083C1"/>
          <w:sz w:val="40"/>
        </w:rPr>
        <w:t>б</w:t>
      </w:r>
      <w:r w:rsidR="001B2DAE">
        <w:rPr>
          <w:b/>
          <w:color w:val="0083C1"/>
          <w:sz w:val="40"/>
        </w:rPr>
        <w:t>е</w:t>
      </w:r>
      <w:r>
        <w:rPr>
          <w:b/>
          <w:color w:val="0083C1"/>
          <w:sz w:val="40"/>
        </w:rPr>
        <w:t>ше осъществено</w:t>
      </w:r>
      <w:r w:rsidR="001B2DAE">
        <w:rPr>
          <w:b/>
          <w:color w:val="0083C1"/>
          <w:sz w:val="40"/>
        </w:rPr>
        <w:t xml:space="preserve"> първото от поредица ОВК подобрения в банковата група, която търсеше решение с максимална ефективност, лесна поддръжка и ниско ниво на шум за изискванията си за отопление и охлаждане. </w:t>
      </w:r>
    </w:p>
    <w:p w:rsidR="0075748B" w:rsidRPr="0075748B" w:rsidRDefault="0075748B" w:rsidP="0075748B">
      <w:pPr>
        <w:spacing w:after="0" w:line="240" w:lineRule="auto"/>
        <w:ind w:left="10"/>
        <w:rPr>
          <w:rFonts w:cs="Calibri"/>
          <w:b/>
          <w:szCs w:val="18"/>
        </w:rPr>
      </w:pPr>
    </w:p>
    <w:p w:rsidR="0075748B" w:rsidRPr="0075748B" w:rsidRDefault="00293BF5" w:rsidP="0075748B">
      <w:pPr>
        <w:spacing w:after="0" w:line="240" w:lineRule="auto"/>
        <w:ind w:left="10"/>
        <w:rPr>
          <w:rFonts w:cs="Calibri"/>
          <w:szCs w:val="18"/>
        </w:rPr>
      </w:pPr>
      <w:r>
        <w:t>Известна като „з</w:t>
      </w:r>
      <w:r w:rsidR="001B2DAE">
        <w:t>елената банка“ поради своята история</w:t>
      </w:r>
      <w:r w:rsidR="0047543D">
        <w:t xml:space="preserve"> в селското стопанство</w:t>
      </w:r>
      <w:r w:rsidR="001B2DAE">
        <w:t>, Crédit Agricole искаше да избегне шумовото замърсяване доколкото е възможно, поради близостта на съседните жилища. Поради малкото пространство - клонът се намира на партерния етаж на съвместно притежаван блок с апартаменти - изборът на компактно решение също беше съществен.</w:t>
      </w:r>
    </w:p>
    <w:p w:rsidR="0075748B" w:rsidRPr="0075748B" w:rsidRDefault="0075748B" w:rsidP="0075748B">
      <w:pPr>
        <w:spacing w:after="0" w:line="240" w:lineRule="auto"/>
        <w:ind w:left="10"/>
        <w:rPr>
          <w:rFonts w:cs="Calibri"/>
          <w:szCs w:val="18"/>
        </w:rPr>
      </w:pPr>
    </w:p>
    <w:p w:rsidR="0075748B" w:rsidRPr="0075748B" w:rsidRDefault="001B2DAE" w:rsidP="0075748B">
      <w:pPr>
        <w:spacing w:after="0" w:line="240" w:lineRule="auto"/>
        <w:ind w:left="10"/>
        <w:rPr>
          <w:rFonts w:cs="Calibri"/>
          <w:szCs w:val="18"/>
        </w:rPr>
      </w:pPr>
      <w:r>
        <w:t xml:space="preserve">Crédit Agricole изпълнява програма за устойчиво развитие, ангажирана с намаляване на енергопотреблението в сградите и намаляване на парниковите газове, което означава, че тя търсеше система с добра енергийна ефективност, </w:t>
      </w:r>
      <w:r w:rsidR="00363AE5">
        <w:t xml:space="preserve">с възможност да постигне до </w:t>
      </w:r>
      <w:r>
        <w:t xml:space="preserve">25% икономия на енергия.  </w:t>
      </w:r>
    </w:p>
    <w:p w:rsidR="0075748B" w:rsidRPr="0075748B" w:rsidRDefault="0075748B" w:rsidP="0075748B">
      <w:pPr>
        <w:spacing w:after="0" w:line="240" w:lineRule="auto"/>
        <w:ind w:left="10"/>
        <w:rPr>
          <w:rFonts w:cs="Calibri"/>
          <w:szCs w:val="18"/>
        </w:rPr>
      </w:pPr>
    </w:p>
    <w:p w:rsidR="0075748B" w:rsidRPr="0075748B" w:rsidRDefault="001B2DAE" w:rsidP="0075748B">
      <w:pPr>
        <w:spacing w:after="0" w:line="240" w:lineRule="auto"/>
        <w:ind w:left="-5"/>
        <w:rPr>
          <w:rFonts w:cs="Calibri"/>
          <w:szCs w:val="18"/>
        </w:rPr>
      </w:pPr>
      <w:r>
        <w:rPr>
          <w:b/>
        </w:rPr>
        <w:t xml:space="preserve">Изборът на монтажника  </w:t>
      </w:r>
    </w:p>
    <w:p w:rsidR="003A1B8F" w:rsidRPr="0075748B" w:rsidRDefault="001B2DAE" w:rsidP="003A1B8F">
      <w:pPr>
        <w:spacing w:after="0" w:line="240" w:lineRule="auto"/>
        <w:ind w:left="-5"/>
        <w:rPr>
          <w:rFonts w:cs="Calibri"/>
          <w:szCs w:val="18"/>
        </w:rPr>
      </w:pPr>
      <w:r>
        <w:t>„</w:t>
      </w:r>
      <w:r>
        <w:rPr>
          <w:i/>
        </w:rPr>
        <w:t xml:space="preserve">При анализиране на препоръката от отдела по дизайн разбрах за акустичното ограничение на този вид решение в съвместно притежавана сграда, където са възниквали спорове поради шума, водещи до глоби. Затова изисках проучване на акустиката за период от 24 часа, за да бъдат оценени праговете на шум. VRV системите намаляват шума, но конвенционалните VRV системи бяха твърде големи, за да се поберат в </w:t>
      </w:r>
      <w:r w:rsidR="0055064A">
        <w:rPr>
          <w:i/>
        </w:rPr>
        <w:t>техническото помещение на клона</w:t>
      </w:r>
      <w:r>
        <w:rPr>
          <w:i/>
        </w:rPr>
        <w:t>“</w:t>
      </w:r>
      <w:r>
        <w:t xml:space="preserve"> каза монтажника, Ричард Метивие от EIB,</w:t>
      </w:r>
      <w:r>
        <w:rPr>
          <w:i/>
        </w:rPr>
        <w:t xml:space="preserve"> </w:t>
      </w:r>
      <w:r w:rsidRPr="0055064A">
        <w:t>пред</w:t>
      </w:r>
      <w:r>
        <w:rPr>
          <w:i/>
        </w:rPr>
        <w:t xml:space="preserve"> </w:t>
      </w:r>
      <w:r>
        <w:t xml:space="preserve">който беше поставено предизвикателство да намери ОВК решение за банката с ниско ниво на шум и малки размери. </w:t>
      </w:r>
    </w:p>
    <w:p w:rsidR="003A1B8F" w:rsidRPr="0075748B" w:rsidRDefault="003A1B8F" w:rsidP="003A1B8F">
      <w:pPr>
        <w:spacing w:after="0" w:line="240" w:lineRule="auto"/>
        <w:ind w:left="-5"/>
        <w:rPr>
          <w:rFonts w:cs="Calibri"/>
          <w:szCs w:val="18"/>
        </w:rPr>
      </w:pPr>
    </w:p>
    <w:p w:rsidR="0075748B" w:rsidRPr="0075748B" w:rsidRDefault="0075748B" w:rsidP="0075748B">
      <w:pPr>
        <w:spacing w:after="0" w:line="240" w:lineRule="auto"/>
        <w:ind w:left="-5" w:right="320"/>
        <w:rPr>
          <w:rFonts w:cs="Calibri"/>
          <w:i/>
          <w:szCs w:val="18"/>
        </w:rPr>
      </w:pPr>
    </w:p>
    <w:p w:rsidR="0075748B" w:rsidRPr="0075748B" w:rsidRDefault="001B2DAE" w:rsidP="003A1B8F">
      <w:pPr>
        <w:spacing w:after="0" w:line="240" w:lineRule="auto"/>
        <w:ind w:right="320"/>
        <w:rPr>
          <w:rFonts w:cs="Calibri"/>
          <w:szCs w:val="18"/>
        </w:rPr>
      </w:pPr>
      <w:r>
        <w:rPr>
          <w:i/>
        </w:rPr>
        <w:t>„Затова се зарадвах да открия решението на i-серията на VRV IV на Daikin и да постигна успешен първи монтаж с тази система. Очевидно е, че това е решение ще се използва в бъдеще, защото е идеално за монтаж за центъра на града. Особено ми хареса скрития</w:t>
      </w:r>
      <w:r w:rsidR="008337CB">
        <w:rPr>
          <w:i/>
        </w:rPr>
        <w:t>т</w:t>
      </w:r>
      <w:r>
        <w:rPr>
          <w:i/>
        </w:rPr>
        <w:t xml:space="preserve"> монтаж на модулите над лобито. Оттогава препоръчвам телата на Daikin на различни клиенти, изправени пред подобни предизвикателства.“ </w:t>
      </w:r>
    </w:p>
    <w:p w:rsidR="0075748B" w:rsidRPr="0075748B" w:rsidRDefault="0075748B" w:rsidP="0075748B">
      <w:pPr>
        <w:spacing w:after="0" w:line="240" w:lineRule="auto"/>
        <w:ind w:left="-5" w:right="315"/>
        <w:rPr>
          <w:rFonts w:cs="Calibri"/>
          <w:szCs w:val="18"/>
        </w:rPr>
      </w:pPr>
    </w:p>
    <w:p w:rsidR="0075748B" w:rsidRPr="0075748B" w:rsidRDefault="001B2DAE" w:rsidP="0075748B">
      <w:pPr>
        <w:spacing w:after="0" w:line="240" w:lineRule="auto"/>
        <w:ind w:left="-5" w:right="315"/>
        <w:rPr>
          <w:rFonts w:cs="Calibri"/>
          <w:szCs w:val="18"/>
        </w:rPr>
      </w:pPr>
      <w:r>
        <w:t xml:space="preserve">Новата i-серия на VRV IV беше монтирана и свързана към две таванни касети с кръгъл поток (FXFQ24A) в зоната на рецепцията, а </w:t>
      </w:r>
      <w:r w:rsidR="004A213D">
        <w:t>с</w:t>
      </w:r>
      <w:r>
        <w:t xml:space="preserve">едем напълно плоски касети (FXZQ15A) бяха монтирани за </w:t>
      </w:r>
      <w:r w:rsidR="004A213D">
        <w:t>климатизация</w:t>
      </w:r>
      <w:r>
        <w:t xml:space="preserve"> на всяко от офисните пространства. </w:t>
      </w:r>
    </w:p>
    <w:p w:rsidR="0075748B" w:rsidRPr="0075748B" w:rsidRDefault="001B2DAE" w:rsidP="0075748B">
      <w:pPr>
        <w:spacing w:after="0" w:line="240" w:lineRule="auto"/>
        <w:ind w:left="-5" w:right="315"/>
        <w:rPr>
          <w:rFonts w:cs="Calibri"/>
          <w:szCs w:val="18"/>
        </w:rPr>
      </w:pPr>
      <w:r>
        <w:lastRenderedPageBreak/>
        <w:t>i-серията на VRV IV е уникална на пазара, благодарение на своята конструкция със сплит система и компактните си размери, което позволява максимална дискретност и гъвкавост, водещи до почти незабележим монтаж. Изключително малките размери на компресора позволиха позициониране в противоположния край на офиса. Също толкова компактният топлообменник обикновено се монтира в пространството над окачен таван, като чрез решетка се осигур</w:t>
      </w:r>
      <w:r w:rsidR="001E40AA">
        <w:t xml:space="preserve">ява вентилация към екстериора. </w:t>
      </w:r>
      <w:r>
        <w:t xml:space="preserve">Това решение заема по-малко офис пространство, а също предлага и по-модерен дизайн. </w:t>
      </w:r>
    </w:p>
    <w:p w:rsidR="0075748B" w:rsidRPr="0075748B" w:rsidRDefault="0075748B" w:rsidP="0075748B">
      <w:pPr>
        <w:spacing w:after="0" w:line="240" w:lineRule="auto"/>
        <w:ind w:left="-5" w:right="315"/>
        <w:rPr>
          <w:rFonts w:cs="Calibri"/>
          <w:szCs w:val="18"/>
        </w:rPr>
      </w:pPr>
    </w:p>
    <w:p w:rsidR="0075748B" w:rsidRPr="0075748B" w:rsidRDefault="001B2DAE" w:rsidP="0075748B">
      <w:pPr>
        <w:spacing w:after="0" w:line="240" w:lineRule="auto"/>
        <w:ind w:left="-5" w:right="315"/>
        <w:rPr>
          <w:rFonts w:cs="Calibri"/>
          <w:szCs w:val="18"/>
        </w:rPr>
      </w:pPr>
      <w:r>
        <w:t>Решетката на акустичния въ</w:t>
      </w:r>
      <w:r w:rsidR="00D817AE">
        <w:t xml:space="preserve">здуховод е разположена от външната страна на сградата </w:t>
      </w:r>
      <w:r>
        <w:t xml:space="preserve">над банкомата, където шумът е по-малък проблем. VRV системата се изключва през нощта, за да минимизира вредното въздействие на шума за съседите, и е настроена автоматично да се стартира всяка сутрин, един час преди отваряне. </w:t>
      </w:r>
    </w:p>
    <w:p w:rsidR="0075748B" w:rsidRPr="0075748B" w:rsidRDefault="0075748B" w:rsidP="0075748B">
      <w:pPr>
        <w:spacing w:after="0" w:line="240" w:lineRule="auto"/>
        <w:ind w:left="-5" w:right="315"/>
        <w:rPr>
          <w:rFonts w:cs="Calibri"/>
          <w:szCs w:val="18"/>
        </w:rPr>
      </w:pPr>
    </w:p>
    <w:p w:rsidR="0075748B" w:rsidRPr="0075748B" w:rsidRDefault="001B2DAE" w:rsidP="0075748B">
      <w:pPr>
        <w:spacing w:after="0" w:line="240" w:lineRule="auto"/>
        <w:ind w:left="-5" w:right="315"/>
        <w:rPr>
          <w:rFonts w:cs="Calibri"/>
          <w:szCs w:val="18"/>
        </w:rPr>
      </w:pPr>
      <w:r>
        <w:t>Поддръжката на отделните управления се извършва чрез централизиран intelligent Touch Manage</w:t>
      </w:r>
      <w:r w:rsidR="00D55F11">
        <w:rPr>
          <w:lang w:val="en-US"/>
        </w:rPr>
        <w:t>r</w:t>
      </w:r>
      <w:r>
        <w:t xml:space="preserve">, управляващ цялото ОВК оборудване, включително оборудване от друг производител чрез модули Wago.  </w:t>
      </w:r>
    </w:p>
    <w:p w:rsidR="0075748B" w:rsidRPr="0075748B" w:rsidRDefault="0075748B" w:rsidP="0075748B">
      <w:pPr>
        <w:spacing w:after="0" w:line="240" w:lineRule="auto"/>
        <w:rPr>
          <w:rFonts w:cs="Calibri"/>
          <w:szCs w:val="18"/>
        </w:rPr>
      </w:pPr>
    </w:p>
    <w:p w:rsidR="0075748B" w:rsidRPr="0075748B" w:rsidRDefault="001B2DAE" w:rsidP="003A1B8F">
      <w:pPr>
        <w:spacing w:after="160" w:line="259" w:lineRule="auto"/>
        <w:rPr>
          <w:rFonts w:cs="Calibri"/>
          <w:b/>
          <w:szCs w:val="18"/>
        </w:rPr>
      </w:pPr>
      <w:r>
        <w:rPr>
          <w:b/>
        </w:rPr>
        <w:t xml:space="preserve">Защо Daikin? </w:t>
      </w:r>
    </w:p>
    <w:p w:rsidR="0075748B" w:rsidRPr="0075748B" w:rsidRDefault="001B2DAE" w:rsidP="003A1B8F">
      <w:pPr>
        <w:spacing w:after="0" w:line="240" w:lineRule="auto"/>
        <w:ind w:right="315"/>
        <w:rPr>
          <w:rFonts w:cs="Calibri"/>
          <w:szCs w:val="18"/>
        </w:rPr>
      </w:pPr>
      <w:r>
        <w:t xml:space="preserve">ОВК решенията на DAIKIN са предпочитаният избор за Crédit Agricole в клоновете й в продължение на повече от десетилетие. Годишно се извършват до 40 монтажа, от които 90% са за обновявания на офиси на клонове, като всяка година има средно седем нови проекта за монтаж. </w:t>
      </w:r>
    </w:p>
    <w:p w:rsidR="0075748B" w:rsidRPr="0075748B" w:rsidRDefault="0075748B" w:rsidP="0075748B">
      <w:pPr>
        <w:spacing w:after="0" w:line="240" w:lineRule="auto"/>
        <w:ind w:left="-5" w:right="315"/>
        <w:rPr>
          <w:rFonts w:cs="Calibri"/>
          <w:b/>
          <w:szCs w:val="18"/>
        </w:rPr>
      </w:pPr>
    </w:p>
    <w:p w:rsidR="0075748B" w:rsidRPr="0075748B" w:rsidRDefault="001B2DAE" w:rsidP="0075748B">
      <w:pPr>
        <w:autoSpaceDE w:val="0"/>
        <w:autoSpaceDN w:val="0"/>
        <w:adjustRightInd w:val="0"/>
        <w:spacing w:after="0" w:line="240" w:lineRule="auto"/>
        <w:rPr>
          <w:rFonts w:cs="Calibri"/>
          <w:szCs w:val="18"/>
        </w:rPr>
      </w:pPr>
      <w:r>
        <w:t>Новаторско използване на пространството - i-серията на VRV IV е особено компактно решение със сплит конструкция, която предлага максимална гъвкавост при монтажа. Тялото е монтирано в малка техническа стая и e свързано навън чрез въздуховод в окачения таван. С COP от 3,8 и EER от 3,2, i-серията на VRV IV предоставя висока ефективност в много компактен формат.</w:t>
      </w:r>
    </w:p>
    <w:p w:rsidR="0075748B" w:rsidRPr="0075748B" w:rsidRDefault="0075748B" w:rsidP="0075748B">
      <w:pPr>
        <w:spacing w:after="0" w:line="240" w:lineRule="auto"/>
        <w:ind w:left="-5" w:right="315"/>
        <w:rPr>
          <w:rFonts w:cs="Calibri"/>
          <w:szCs w:val="18"/>
        </w:rPr>
      </w:pPr>
    </w:p>
    <w:p w:rsidR="0075748B" w:rsidRPr="0075748B" w:rsidRDefault="001B2DAE" w:rsidP="003A1B8F">
      <w:pPr>
        <w:spacing w:after="0" w:line="240" w:lineRule="auto"/>
        <w:ind w:right="315"/>
        <w:rPr>
          <w:rFonts w:cs="Calibri"/>
          <w:szCs w:val="18"/>
        </w:rPr>
      </w:pPr>
      <w:r>
        <w:t xml:space="preserve">След като постигна енергийната си цел, Crédit Agricole планира да създаде програми за обучение на персонала за разумно използване на оборудването с цел по-нататъшно оптимизиране на потреблението на енергия. Служителите също се обучават как да си служат с дистанционните управления, за да използват </w:t>
      </w:r>
      <w:r w:rsidR="00D55F11">
        <w:t>новото оборудване по най-добрия начин.</w:t>
      </w:r>
      <w:r>
        <w:t xml:space="preserve"> </w:t>
      </w:r>
    </w:p>
    <w:p w:rsidR="0075748B" w:rsidRDefault="0075748B" w:rsidP="0075748B">
      <w:pPr>
        <w:spacing w:after="0" w:line="240" w:lineRule="auto"/>
        <w:rPr>
          <w:rFonts w:cs="Calibri"/>
          <w:szCs w:val="18"/>
        </w:rPr>
      </w:pPr>
    </w:p>
    <w:p w:rsidR="00E0160B" w:rsidRPr="0075748B" w:rsidRDefault="001B2DAE" w:rsidP="0075748B">
      <w:pPr>
        <w:spacing w:after="0" w:line="240" w:lineRule="auto"/>
        <w:rPr>
          <w:rFonts w:cs="Calibri"/>
          <w:szCs w:val="18"/>
        </w:rPr>
      </w:pPr>
      <w:r>
        <w:t>За да научите повече, посетете www.daikineurope.com/citysecret</w:t>
      </w:r>
    </w:p>
    <w:p w:rsidR="00914B28" w:rsidRPr="0075748B" w:rsidRDefault="001B2DAE" w:rsidP="00914B28">
      <w:pPr>
        <w:pStyle w:val="Heading3"/>
        <w:numPr>
          <w:ilvl w:val="0"/>
          <w:numId w:val="0"/>
        </w:numPr>
        <w:ind w:left="720" w:hanging="720"/>
        <w:rPr>
          <w:rStyle w:val="Strong"/>
          <w:rFonts w:cs="Calibri"/>
          <w:sz w:val="18"/>
          <w:szCs w:val="18"/>
        </w:rPr>
      </w:pPr>
      <w:r>
        <w:rPr>
          <w:rStyle w:val="Strong"/>
          <w:bCs/>
          <w:sz w:val="18"/>
        </w:rPr>
        <w:t>&gt; Край</w:t>
      </w:r>
      <w:bookmarkStart w:id="0" w:name="_GoBack"/>
      <w:bookmarkEnd w:id="0"/>
    </w:p>
    <w:p w:rsidR="00914B28" w:rsidRPr="0075748B" w:rsidRDefault="00914B28" w:rsidP="00914B28">
      <w:pPr>
        <w:rPr>
          <w:rFonts w:cs="Calibri"/>
          <w:b/>
          <w:szCs w:val="18"/>
        </w:rPr>
      </w:pPr>
    </w:p>
    <w:p w:rsidR="00914B28" w:rsidRPr="0075748B" w:rsidRDefault="001B2DAE" w:rsidP="001C4C72">
      <w:pPr>
        <w:rPr>
          <w:rStyle w:val="Strong"/>
          <w:rFonts w:cs="Calibri"/>
          <w:sz w:val="18"/>
          <w:szCs w:val="18"/>
        </w:rPr>
      </w:pPr>
      <w:r>
        <w:rPr>
          <w:rStyle w:val="Strong"/>
          <w:sz w:val="18"/>
        </w:rPr>
        <w:t>Бележки на редактора:</w:t>
      </w:r>
    </w:p>
    <w:p w:rsidR="00914B28" w:rsidRPr="0075748B" w:rsidRDefault="001B2DAE" w:rsidP="00914B28">
      <w:pPr>
        <w:spacing w:after="0" w:line="360" w:lineRule="auto"/>
        <w:rPr>
          <w:rStyle w:val="Strong"/>
          <w:rFonts w:cs="Calibri"/>
          <w:sz w:val="18"/>
          <w:szCs w:val="18"/>
        </w:rPr>
      </w:pPr>
      <w:r>
        <w:rPr>
          <w:rStyle w:val="Strong"/>
          <w:sz w:val="18"/>
        </w:rPr>
        <w:t>За Daikin Europe N.V.</w:t>
      </w:r>
    </w:p>
    <w:p w:rsidR="00914B28" w:rsidRPr="0075748B" w:rsidRDefault="001B2DAE" w:rsidP="00914B28">
      <w:pPr>
        <w:rPr>
          <w:rFonts w:cs="Calibri"/>
          <w:szCs w:val="18"/>
        </w:rPr>
      </w:pPr>
      <w:r>
        <w:t>Daikin Europe N.V. е водещ европейски производител на климатици, термопомпи и хладилно оборудване, с около 5500 служители в цяла Европа и 10 основни производствени мощности, базирани в Белгия, Чехия, Германия, Италия, Турция и Великобритания.</w:t>
      </w:r>
    </w:p>
    <w:p w:rsidR="00914B28" w:rsidRPr="0075748B" w:rsidRDefault="001B2DAE" w:rsidP="00914B28">
      <w:pPr>
        <w:rPr>
          <w:rFonts w:cs="Calibri"/>
          <w:szCs w:val="18"/>
        </w:rPr>
      </w:pPr>
      <w:r>
        <w:t>В световен мащаб Daikin е известна с новаторския си подход към разработването на продуктите и с ненадминатото качество и гъвкавост на интегрираните си решения. С повече от 90 години опит в проектирането и производството на технологии за отопление и охлаждане, Daikin е пазарен лидер в термопомпените технологии. Daikin VRV и Daikin Altherma са най-продаваните термопомпени системи в Европа, като до момента са доставени над 500 000 системи.</w:t>
      </w:r>
    </w:p>
    <w:p w:rsidR="00914B28" w:rsidRPr="0075748B" w:rsidRDefault="001B2DAE" w:rsidP="001C4C72">
      <w:pPr>
        <w:spacing w:line="360" w:lineRule="auto"/>
        <w:rPr>
          <w:rFonts w:cs="Calibri"/>
          <w:szCs w:val="18"/>
        </w:rPr>
      </w:pPr>
      <w:r>
        <w:t xml:space="preserve">Запитвания от медиите могат да бъдат изпращани на </w:t>
      </w:r>
      <w:hyperlink r:id="rId8" w:history="1">
        <w:r>
          <w:rPr>
            <w:rStyle w:val="Hyperlink"/>
          </w:rPr>
          <w:t>Daikin-News@sheremarketing.co.uk</w:t>
        </w:r>
      </w:hyperlink>
    </w:p>
    <w:sectPr w:rsidR="00914B28" w:rsidRPr="0075748B" w:rsidSect="00330ABB">
      <w:headerReference w:type="default" r:id="rId9"/>
      <w:footerReference w:type="default" r:id="rId10"/>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FE2" w:rsidRDefault="000B6FE2" w:rsidP="000C65B2">
      <w:pPr>
        <w:spacing w:after="0" w:line="240" w:lineRule="auto"/>
      </w:pPr>
      <w:r>
        <w:separator/>
      </w:r>
    </w:p>
  </w:endnote>
  <w:endnote w:type="continuationSeparator" w:id="0">
    <w:p w:rsidR="000B6FE2" w:rsidRDefault="000B6FE2"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06A" w:rsidRDefault="003F106A" w:rsidP="002C5851">
    <w:pPr>
      <w:pStyle w:val="Footer"/>
      <w:ind w:hanging="720"/>
    </w:pPr>
  </w:p>
  <w:p w:rsidR="003F106A" w:rsidRDefault="00E10A29" w:rsidP="002C5851">
    <w:pPr>
      <w:pStyle w:val="Footer"/>
      <w:ind w:hanging="720"/>
    </w:pPr>
    <w:r>
      <w:rPr>
        <w:noProof/>
        <w:lang w:val="nl-BE" w:eastAsia="nl-BE"/>
      </w:rPr>
      <w:drawing>
        <wp:inline distT="0" distB="0" distL="0" distR="0">
          <wp:extent cx="7560945" cy="1346200"/>
          <wp:effectExtent l="19050" t="0" r="190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7560945" cy="1346200"/>
                  </a:xfrm>
                  <a:prstGeom prst="rect">
                    <a:avLst/>
                  </a:prstGeom>
                  <a:noFill/>
                  <a:ln w="9525">
                    <a:noFill/>
                    <a:miter lim="800000"/>
                    <a:headEnd/>
                    <a:tailEnd/>
                  </a:ln>
                </pic:spPr>
              </pic:pic>
            </a:graphicData>
          </a:graphic>
        </wp:inline>
      </w:drawing>
    </w:r>
  </w:p>
  <w:p w:rsidR="003F106A" w:rsidRDefault="003F10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FE2" w:rsidRDefault="000B6FE2" w:rsidP="000C65B2">
      <w:pPr>
        <w:spacing w:after="0" w:line="240" w:lineRule="auto"/>
      </w:pPr>
      <w:r>
        <w:separator/>
      </w:r>
    </w:p>
  </w:footnote>
  <w:footnote w:type="continuationSeparator" w:id="0">
    <w:p w:rsidR="000B6FE2" w:rsidRDefault="000B6FE2" w:rsidP="000C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106A" w:rsidRPr="00D54049" w:rsidRDefault="003F106A" w:rsidP="00330ABB">
    <w:pPr>
      <w:pStyle w:val="Header"/>
      <w:tabs>
        <w:tab w:val="clear" w:pos="9026"/>
        <w:tab w:val="left" w:pos="0"/>
        <w:tab w:val="right" w:pos="9810"/>
      </w:tabs>
      <w:ind w:right="-783"/>
      <w:jc w:val="right"/>
      <w:rPr>
        <w:sz w:val="16"/>
      </w:rPr>
    </w:pPr>
  </w:p>
  <w:tbl>
    <w:tblPr>
      <w:tblW w:w="1098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233"/>
      <w:gridCol w:w="5747"/>
    </w:tblGrid>
    <w:tr w:rsidR="003F106A" w:rsidRPr="00560875" w:rsidTr="00330ABB">
      <w:trPr>
        <w:trHeight w:val="398"/>
      </w:trPr>
      <w:tc>
        <w:tcPr>
          <w:tcW w:w="5233" w:type="dxa"/>
          <w:vMerge w:val="restart"/>
        </w:tcPr>
        <w:p w:rsidR="003F106A" w:rsidRPr="00560875" w:rsidRDefault="00E10A29" w:rsidP="00330ABB">
          <w:pPr>
            <w:pStyle w:val="Header"/>
            <w:ind w:firstLine="702"/>
          </w:pPr>
          <w:r>
            <w:rPr>
              <w:noProof/>
              <w:sz w:val="16"/>
              <w:lang w:val="nl-BE" w:eastAsia="nl-BE"/>
            </w:rPr>
            <w:drawing>
              <wp:inline distT="0" distB="0" distL="0" distR="0">
                <wp:extent cx="1524000" cy="321945"/>
                <wp:effectExtent l="19050" t="0" r="0" b="0"/>
                <wp:docPr id="2"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for_word_"/>
                        <pic:cNvPicPr>
                          <a:picLocks noChangeAspect="1" noChangeArrowheads="1"/>
                        </pic:cNvPicPr>
                      </pic:nvPicPr>
                      <pic:blipFill>
                        <a:blip r:embed="rId1"/>
                        <a:srcRect b="24373"/>
                        <a:stretch>
                          <a:fillRect/>
                        </a:stretch>
                      </pic:blipFill>
                      <pic:spPr bwMode="auto">
                        <a:xfrm>
                          <a:off x="0" y="0"/>
                          <a:ext cx="1524000" cy="321945"/>
                        </a:xfrm>
                        <a:prstGeom prst="rect">
                          <a:avLst/>
                        </a:prstGeom>
                        <a:noFill/>
                        <a:ln w="9525">
                          <a:noFill/>
                          <a:miter lim="800000"/>
                          <a:headEnd/>
                          <a:tailEnd/>
                        </a:ln>
                      </pic:spPr>
                    </pic:pic>
                  </a:graphicData>
                </a:graphic>
              </wp:inline>
            </w:drawing>
          </w:r>
        </w:p>
      </w:tc>
      <w:tc>
        <w:tcPr>
          <w:tcW w:w="5747" w:type="dxa"/>
          <w:vAlign w:val="center"/>
        </w:tcPr>
        <w:p w:rsidR="003F106A" w:rsidRPr="00560875" w:rsidRDefault="001B2DAE" w:rsidP="00004644">
          <w:pPr>
            <w:pStyle w:val="Header"/>
            <w:tabs>
              <w:tab w:val="clear" w:pos="4513"/>
            </w:tabs>
            <w:ind w:right="-18"/>
            <w:jc w:val="right"/>
          </w:pPr>
          <w:r>
            <w:rPr>
              <w:color w:val="5F5F5F"/>
              <w:sz w:val="16"/>
            </w:rPr>
            <w:t>Пример от практиката на Daikin Europe</w:t>
          </w:r>
        </w:p>
      </w:tc>
    </w:tr>
    <w:tr w:rsidR="003F106A" w:rsidRPr="00560875" w:rsidTr="00330ABB">
      <w:trPr>
        <w:trHeight w:val="70"/>
      </w:trPr>
      <w:tc>
        <w:tcPr>
          <w:tcW w:w="5233" w:type="dxa"/>
          <w:vMerge/>
        </w:tcPr>
        <w:p w:rsidR="003F106A" w:rsidRPr="00560875" w:rsidRDefault="003F106A" w:rsidP="00FC3E62">
          <w:pPr>
            <w:pStyle w:val="Header"/>
            <w:ind w:hanging="108"/>
          </w:pPr>
        </w:p>
      </w:tc>
      <w:tc>
        <w:tcPr>
          <w:tcW w:w="5747" w:type="dxa"/>
        </w:tcPr>
        <w:p w:rsidR="003F106A" w:rsidRPr="00560875" w:rsidRDefault="00481BAC" w:rsidP="00FC3E62">
          <w:pPr>
            <w:pStyle w:val="Footer"/>
            <w:jc w:val="right"/>
            <w:rPr>
              <w:color w:val="5F5F5F"/>
              <w:sz w:val="16"/>
              <w:szCs w:val="16"/>
            </w:rPr>
          </w:pPr>
          <w:r>
            <w:rPr>
              <w:color w:val="5F5F5F"/>
              <w:sz w:val="16"/>
            </w:rPr>
            <w:fldChar w:fldCharType="begin"/>
          </w:r>
          <w:r w:rsidR="001B2DAE">
            <w:rPr>
              <w:color w:val="5F5F5F"/>
              <w:sz w:val="16"/>
            </w:rPr>
            <w:instrText xml:space="preserve"> PAGE    \* MERGEFORMAT </w:instrText>
          </w:r>
          <w:r>
            <w:rPr>
              <w:color w:val="5F5F5F"/>
              <w:sz w:val="16"/>
            </w:rPr>
            <w:fldChar w:fldCharType="separate"/>
          </w:r>
          <w:r w:rsidR="00287FA2">
            <w:rPr>
              <w:noProof/>
              <w:color w:val="5F5F5F"/>
              <w:sz w:val="16"/>
            </w:rPr>
            <w:t>2</w:t>
          </w:r>
          <w:r>
            <w:rPr>
              <w:color w:val="5F5F5F"/>
              <w:sz w:val="16"/>
            </w:rPr>
            <w:fldChar w:fldCharType="end"/>
          </w:r>
        </w:p>
      </w:tc>
    </w:tr>
  </w:tbl>
  <w:p w:rsidR="003F106A" w:rsidRDefault="003F10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62686"/>
    <w:multiLevelType w:val="hybridMultilevel"/>
    <w:tmpl w:val="5066B21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3422237"/>
    <w:multiLevelType w:val="hybridMultilevel"/>
    <w:tmpl w:val="D64E0738"/>
    <w:lvl w:ilvl="0" w:tplc="FFFFFFFF">
      <w:numFmt w:val="bullet"/>
      <w:lvlText w:val="-"/>
      <w:lvlJc w:val="left"/>
      <w:pPr>
        <w:ind w:left="720" w:hanging="360"/>
      </w:pPr>
      <w:rPr>
        <w:rFonts w:ascii="Calibri" w:eastAsia="Times New Roman" w:hAnsi="Calibri"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540376A"/>
    <w:multiLevelType w:val="hybridMultilevel"/>
    <w:tmpl w:val="EA1AAE4C"/>
    <w:lvl w:ilvl="0" w:tplc="FFFFFFFF">
      <w:numFmt w:val="bullet"/>
      <w:lvlText w:val="-"/>
      <w:lvlJc w:val="left"/>
      <w:pPr>
        <w:ind w:left="720" w:hanging="360"/>
      </w:pPr>
      <w:rPr>
        <w:rFonts w:ascii="Helv" w:eastAsia="Times New Roman" w:hAnsi="Helv"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7C02044"/>
    <w:multiLevelType w:val="hybridMultilevel"/>
    <w:tmpl w:val="E18EA800"/>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58480A6D"/>
    <w:multiLevelType w:val="hybridMultilevel"/>
    <w:tmpl w:val="3684DD8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0474DF0"/>
    <w:multiLevelType w:val="hybridMultilevel"/>
    <w:tmpl w:val="7444F67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AF7C5B"/>
    <w:multiLevelType w:val="hybridMultilevel"/>
    <w:tmpl w:val="006A3F5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05121D7"/>
    <w:multiLevelType w:val="hybridMultilevel"/>
    <w:tmpl w:val="D226A55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5A32EC"/>
    <w:multiLevelType w:val="multilevel"/>
    <w:tmpl w:val="0C2410CA"/>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576"/>
        </w:tabs>
        <w:ind w:left="57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15:restartNumberingAfterBreak="0">
    <w:nsid w:val="7EB664F2"/>
    <w:multiLevelType w:val="hybridMultilevel"/>
    <w:tmpl w:val="EF16E7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8"/>
  </w:num>
  <w:num w:numId="5">
    <w:abstractNumId w:val="9"/>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3"/>
  </w:num>
  <w:num w:numId="25">
    <w:abstractNumId w:val="1"/>
  </w:num>
  <w:num w:numId="26">
    <w:abstractNumId w:val="5"/>
  </w:num>
  <w:num w:numId="27">
    <w:abstractNumId w:val="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F1648"/>
    <w:rsid w:val="00004644"/>
    <w:rsid w:val="000B6FE2"/>
    <w:rsid w:val="000C65B2"/>
    <w:rsid w:val="0014222D"/>
    <w:rsid w:val="001B2DAE"/>
    <w:rsid w:val="001C4C72"/>
    <w:rsid w:val="001E40AA"/>
    <w:rsid w:val="001F1648"/>
    <w:rsid w:val="00287FA2"/>
    <w:rsid w:val="00293BF5"/>
    <w:rsid w:val="002C5851"/>
    <w:rsid w:val="00330ABB"/>
    <w:rsid w:val="00363AE5"/>
    <w:rsid w:val="003A1B8F"/>
    <w:rsid w:val="003F106A"/>
    <w:rsid w:val="004330F5"/>
    <w:rsid w:val="00442153"/>
    <w:rsid w:val="0047543D"/>
    <w:rsid w:val="00481BAC"/>
    <w:rsid w:val="004A213D"/>
    <w:rsid w:val="005250A2"/>
    <w:rsid w:val="0055064A"/>
    <w:rsid w:val="00560875"/>
    <w:rsid w:val="00742511"/>
    <w:rsid w:val="0075748B"/>
    <w:rsid w:val="008337CB"/>
    <w:rsid w:val="008E7DC9"/>
    <w:rsid w:val="00914B28"/>
    <w:rsid w:val="00AC1E8C"/>
    <w:rsid w:val="00D54049"/>
    <w:rsid w:val="00D55F11"/>
    <w:rsid w:val="00D817AE"/>
    <w:rsid w:val="00E0160B"/>
    <w:rsid w:val="00E10A29"/>
    <w:rsid w:val="00E377BC"/>
    <w:rsid w:val="00E75489"/>
    <w:rsid w:val="00EE35DD"/>
    <w:rsid w:val="00FC3E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D3297AD-0131-4E27-AD10-08124124F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1BAC"/>
    <w:pPr>
      <w:spacing w:after="200" w:line="276" w:lineRule="auto"/>
    </w:pPr>
    <w:rPr>
      <w:rFonts w:cs="Times New Roman"/>
      <w:sz w:val="18"/>
      <w:szCs w:val="22"/>
      <w:lang w:val="bg-BG" w:eastAsia="bg-BG"/>
    </w:rPr>
  </w:style>
  <w:style w:type="paragraph" w:styleId="Heading1">
    <w:name w:val="heading 1"/>
    <w:basedOn w:val="Normal"/>
    <w:next w:val="Normal"/>
    <w:link w:val="Heading1Char"/>
    <w:autoRedefine/>
    <w:uiPriority w:val="9"/>
    <w:qFormat/>
    <w:rsid w:val="00481BAC"/>
    <w:pPr>
      <w:keepNext/>
      <w:numPr>
        <w:numId w:val="23"/>
      </w:numPr>
      <w:spacing w:before="240" w:after="60" w:line="240" w:lineRule="auto"/>
      <w:outlineLvl w:val="0"/>
    </w:pPr>
    <w:rPr>
      <w:rFonts w:eastAsia="MS Mincho"/>
      <w:iCs/>
      <w:color w:val="0083C1"/>
      <w:kern w:val="32"/>
      <w:sz w:val="40"/>
      <w:szCs w:val="32"/>
    </w:rPr>
  </w:style>
  <w:style w:type="paragraph" w:styleId="Heading2">
    <w:name w:val="heading 2"/>
    <w:basedOn w:val="Normal"/>
    <w:next w:val="Normal"/>
    <w:link w:val="Heading2Char"/>
    <w:uiPriority w:val="9"/>
    <w:qFormat/>
    <w:rsid w:val="00481BAC"/>
    <w:pPr>
      <w:keepNext/>
      <w:numPr>
        <w:ilvl w:val="1"/>
        <w:numId w:val="23"/>
      </w:numPr>
      <w:spacing w:before="240" w:after="60" w:line="240" w:lineRule="auto"/>
      <w:outlineLvl w:val="1"/>
    </w:pPr>
    <w:rPr>
      <w:rFonts w:eastAsia="MS Mincho"/>
      <w:bCs/>
      <w:iCs/>
      <w:color w:val="5F5F5F"/>
      <w:sz w:val="36"/>
      <w:szCs w:val="28"/>
    </w:rPr>
  </w:style>
  <w:style w:type="paragraph" w:styleId="Heading3">
    <w:name w:val="heading 3"/>
    <w:basedOn w:val="Normal"/>
    <w:next w:val="Normal"/>
    <w:link w:val="Heading3Char"/>
    <w:uiPriority w:val="9"/>
    <w:qFormat/>
    <w:rsid w:val="00481BAC"/>
    <w:pPr>
      <w:keepNext/>
      <w:numPr>
        <w:ilvl w:val="2"/>
        <w:numId w:val="23"/>
      </w:numPr>
      <w:spacing w:before="240" w:after="60" w:line="240" w:lineRule="auto"/>
      <w:outlineLvl w:val="2"/>
    </w:pPr>
    <w:rPr>
      <w:rFonts w:eastAsia="MS Mincho"/>
      <w:bCs/>
      <w:color w:val="5F5F5F"/>
      <w:sz w:val="32"/>
      <w:szCs w:val="26"/>
    </w:rPr>
  </w:style>
  <w:style w:type="paragraph" w:styleId="Heading4">
    <w:name w:val="heading 4"/>
    <w:basedOn w:val="Normal"/>
    <w:next w:val="Normal"/>
    <w:link w:val="Heading4Char"/>
    <w:uiPriority w:val="9"/>
    <w:qFormat/>
    <w:rsid w:val="00481BAC"/>
    <w:pPr>
      <w:keepNext/>
      <w:numPr>
        <w:ilvl w:val="3"/>
        <w:numId w:val="23"/>
      </w:numPr>
      <w:spacing w:before="240" w:after="60" w:line="240" w:lineRule="auto"/>
      <w:outlineLvl w:val="3"/>
    </w:pPr>
    <w:rPr>
      <w:rFonts w:eastAsia="MS Mincho"/>
      <w:bCs/>
      <w:color w:val="0083C1"/>
      <w:sz w:val="24"/>
      <w:szCs w:val="24"/>
    </w:rPr>
  </w:style>
  <w:style w:type="paragraph" w:styleId="Heading5">
    <w:name w:val="heading 5"/>
    <w:basedOn w:val="Normal"/>
    <w:next w:val="Normal"/>
    <w:link w:val="Heading5Char"/>
    <w:uiPriority w:val="9"/>
    <w:qFormat/>
    <w:rsid w:val="00481BAC"/>
    <w:pPr>
      <w:numPr>
        <w:ilvl w:val="4"/>
        <w:numId w:val="23"/>
      </w:numPr>
      <w:spacing w:before="240" w:after="60" w:line="240" w:lineRule="auto"/>
      <w:outlineLvl w:val="4"/>
    </w:pPr>
    <w:rPr>
      <w:rFonts w:ascii="Arial" w:eastAsia="MS Mincho" w:hAnsi="Arial"/>
      <w:b/>
      <w:bCs/>
      <w:i/>
      <w:iCs/>
      <w:sz w:val="26"/>
      <w:szCs w:val="26"/>
    </w:rPr>
  </w:style>
  <w:style w:type="paragraph" w:styleId="Heading6">
    <w:name w:val="heading 6"/>
    <w:basedOn w:val="Normal"/>
    <w:next w:val="Normal"/>
    <w:link w:val="Heading6Char"/>
    <w:uiPriority w:val="9"/>
    <w:qFormat/>
    <w:rsid w:val="00481BAC"/>
    <w:pPr>
      <w:numPr>
        <w:ilvl w:val="5"/>
        <w:numId w:val="23"/>
      </w:numPr>
      <w:spacing w:before="240" w:after="60" w:line="240" w:lineRule="auto"/>
      <w:outlineLvl w:val="5"/>
    </w:pPr>
    <w:rPr>
      <w:rFonts w:ascii="Arial" w:eastAsia="MS Mincho" w:hAnsi="Arial"/>
      <w:b/>
      <w:bCs/>
    </w:rPr>
  </w:style>
  <w:style w:type="paragraph" w:styleId="Heading7">
    <w:name w:val="heading 7"/>
    <w:basedOn w:val="Normal"/>
    <w:next w:val="Normal"/>
    <w:link w:val="Heading7Char"/>
    <w:uiPriority w:val="9"/>
    <w:qFormat/>
    <w:rsid w:val="00481BAC"/>
    <w:pPr>
      <w:numPr>
        <w:ilvl w:val="6"/>
        <w:numId w:val="23"/>
      </w:numPr>
      <w:spacing w:before="240" w:after="60" w:line="240" w:lineRule="auto"/>
      <w:outlineLvl w:val="6"/>
    </w:pPr>
    <w:rPr>
      <w:rFonts w:ascii="Arial" w:eastAsia="MS Mincho" w:hAnsi="Arial"/>
      <w:sz w:val="20"/>
      <w:szCs w:val="24"/>
    </w:rPr>
  </w:style>
  <w:style w:type="paragraph" w:styleId="Heading8">
    <w:name w:val="heading 8"/>
    <w:basedOn w:val="Normal"/>
    <w:next w:val="Normal"/>
    <w:link w:val="Heading8Char"/>
    <w:uiPriority w:val="9"/>
    <w:qFormat/>
    <w:rsid w:val="00481BAC"/>
    <w:pPr>
      <w:numPr>
        <w:ilvl w:val="7"/>
        <w:numId w:val="23"/>
      </w:numPr>
      <w:spacing w:before="240" w:after="60" w:line="240" w:lineRule="auto"/>
      <w:outlineLvl w:val="7"/>
    </w:pPr>
    <w:rPr>
      <w:rFonts w:ascii="Arial" w:eastAsia="MS Mincho" w:hAnsi="Arial"/>
      <w:i/>
      <w:iCs/>
      <w:sz w:val="20"/>
      <w:szCs w:val="24"/>
    </w:rPr>
  </w:style>
  <w:style w:type="paragraph" w:styleId="Heading9">
    <w:name w:val="heading 9"/>
    <w:basedOn w:val="Normal"/>
    <w:next w:val="Normal"/>
    <w:link w:val="Heading9Char"/>
    <w:uiPriority w:val="9"/>
    <w:qFormat/>
    <w:rsid w:val="00481BAC"/>
    <w:pPr>
      <w:numPr>
        <w:ilvl w:val="8"/>
        <w:numId w:val="4"/>
      </w:numPr>
      <w:spacing w:before="240" w:after="60" w:line="240" w:lineRule="auto"/>
      <w:outlineLvl w:val="8"/>
    </w:pPr>
    <w:rPr>
      <w:rFonts w:ascii="Arial" w:eastAsia="MS Mincho"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481BAC"/>
    <w:rPr>
      <w:rFonts w:eastAsia="MS Mincho" w:cs="Times New Roman"/>
      <w:iCs/>
      <w:color w:val="0083C1"/>
      <w:kern w:val="32"/>
      <w:sz w:val="32"/>
      <w:szCs w:val="32"/>
      <w:lang w:val="bg-BG" w:eastAsia="bg-BG"/>
    </w:rPr>
  </w:style>
  <w:style w:type="character" w:customStyle="1" w:styleId="Heading2Char">
    <w:name w:val="Heading 2 Char"/>
    <w:basedOn w:val="DefaultParagraphFont"/>
    <w:link w:val="Heading2"/>
    <w:uiPriority w:val="9"/>
    <w:locked/>
    <w:rsid w:val="00481BAC"/>
    <w:rPr>
      <w:rFonts w:eastAsia="MS Mincho" w:cs="Times New Roman"/>
      <w:bCs/>
      <w:iCs/>
      <w:color w:val="5F5F5F"/>
      <w:sz w:val="28"/>
      <w:szCs w:val="28"/>
      <w:lang w:val="bg-BG" w:eastAsia="bg-BG"/>
    </w:rPr>
  </w:style>
  <w:style w:type="character" w:customStyle="1" w:styleId="Heading3Char">
    <w:name w:val="Heading 3 Char"/>
    <w:basedOn w:val="DefaultParagraphFont"/>
    <w:link w:val="Heading3"/>
    <w:uiPriority w:val="9"/>
    <w:locked/>
    <w:rsid w:val="00481BAC"/>
    <w:rPr>
      <w:rFonts w:eastAsia="MS Mincho" w:cs="Times New Roman"/>
      <w:bCs/>
      <w:color w:val="5F5F5F"/>
      <w:sz w:val="26"/>
      <w:szCs w:val="26"/>
      <w:lang w:val="bg-BG" w:eastAsia="bg-BG"/>
    </w:rPr>
  </w:style>
  <w:style w:type="character" w:customStyle="1" w:styleId="Heading4Char">
    <w:name w:val="Heading 4 Char"/>
    <w:basedOn w:val="DefaultParagraphFont"/>
    <w:link w:val="Heading4"/>
    <w:uiPriority w:val="9"/>
    <w:locked/>
    <w:rsid w:val="00481BAC"/>
    <w:rPr>
      <w:rFonts w:eastAsia="MS Mincho" w:cs="Times New Roman"/>
      <w:bCs/>
      <w:color w:val="0083C1"/>
      <w:sz w:val="24"/>
      <w:szCs w:val="24"/>
      <w:lang w:val="bg-BG" w:eastAsia="bg-BG"/>
    </w:rPr>
  </w:style>
  <w:style w:type="character" w:customStyle="1" w:styleId="Heading5Char">
    <w:name w:val="Heading 5 Char"/>
    <w:basedOn w:val="DefaultParagraphFont"/>
    <w:link w:val="Heading5"/>
    <w:uiPriority w:val="9"/>
    <w:locked/>
    <w:rsid w:val="00481BAC"/>
    <w:rPr>
      <w:rFonts w:ascii="Arial" w:eastAsia="MS Mincho" w:hAnsi="Arial" w:cs="Times New Roman"/>
      <w:b/>
      <w:bCs/>
      <w:i/>
      <w:iCs/>
      <w:sz w:val="26"/>
      <w:szCs w:val="26"/>
      <w:lang w:val="bg-BG" w:eastAsia="bg-BG"/>
    </w:rPr>
  </w:style>
  <w:style w:type="character" w:customStyle="1" w:styleId="Heading6Char">
    <w:name w:val="Heading 6 Char"/>
    <w:basedOn w:val="DefaultParagraphFont"/>
    <w:link w:val="Heading6"/>
    <w:uiPriority w:val="9"/>
    <w:locked/>
    <w:rsid w:val="00481BAC"/>
    <w:rPr>
      <w:rFonts w:ascii="Arial" w:eastAsia="MS Mincho" w:hAnsi="Arial" w:cs="Times New Roman"/>
      <w:b/>
      <w:bCs/>
      <w:lang w:val="bg-BG" w:eastAsia="bg-BG"/>
    </w:rPr>
  </w:style>
  <w:style w:type="character" w:customStyle="1" w:styleId="Heading7Char">
    <w:name w:val="Heading 7 Char"/>
    <w:basedOn w:val="DefaultParagraphFont"/>
    <w:link w:val="Heading7"/>
    <w:uiPriority w:val="9"/>
    <w:locked/>
    <w:rsid w:val="00481BAC"/>
    <w:rPr>
      <w:rFonts w:ascii="Arial" w:eastAsia="MS Mincho" w:hAnsi="Arial" w:cs="Times New Roman"/>
      <w:sz w:val="24"/>
      <w:szCs w:val="24"/>
      <w:lang w:val="bg-BG" w:eastAsia="bg-BG"/>
    </w:rPr>
  </w:style>
  <w:style w:type="character" w:customStyle="1" w:styleId="Heading8Char">
    <w:name w:val="Heading 8 Char"/>
    <w:basedOn w:val="DefaultParagraphFont"/>
    <w:link w:val="Heading8"/>
    <w:uiPriority w:val="9"/>
    <w:locked/>
    <w:rsid w:val="00481BAC"/>
    <w:rPr>
      <w:rFonts w:ascii="Arial" w:eastAsia="MS Mincho" w:hAnsi="Arial" w:cs="Times New Roman"/>
      <w:i/>
      <w:iCs/>
      <w:sz w:val="24"/>
      <w:szCs w:val="24"/>
      <w:lang w:val="bg-BG" w:eastAsia="bg-BG"/>
    </w:rPr>
  </w:style>
  <w:style w:type="character" w:customStyle="1" w:styleId="Heading9Char">
    <w:name w:val="Heading 9 Char"/>
    <w:basedOn w:val="DefaultParagraphFont"/>
    <w:link w:val="Heading9"/>
    <w:uiPriority w:val="9"/>
    <w:locked/>
    <w:rsid w:val="00481BAC"/>
    <w:rPr>
      <w:rFonts w:ascii="Arial" w:eastAsia="MS Mincho" w:hAnsi="Arial" w:cs="Times New Roman"/>
      <w:lang w:val="bg-BG" w:eastAsia="bg-BG"/>
    </w:rPr>
  </w:style>
  <w:style w:type="paragraph" w:styleId="ListParagraph">
    <w:name w:val="List Paragraph"/>
    <w:basedOn w:val="Normal"/>
    <w:uiPriority w:val="34"/>
    <w:qFormat/>
    <w:rsid w:val="00481BAC"/>
    <w:pPr>
      <w:ind w:left="720"/>
      <w:contextualSpacing/>
    </w:pPr>
  </w:style>
  <w:style w:type="paragraph" w:styleId="Header">
    <w:name w:val="header"/>
    <w:basedOn w:val="Normal"/>
    <w:link w:val="HeaderChar"/>
    <w:uiPriority w:val="99"/>
    <w:unhideWhenUsed/>
    <w:rsid w:val="00481BAC"/>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481BAC"/>
    <w:rPr>
      <w:rFonts w:cs="Times New Roman"/>
      <w:lang w:val="bg-BG" w:eastAsia="bg-BG"/>
    </w:rPr>
  </w:style>
  <w:style w:type="paragraph" w:styleId="Footer">
    <w:name w:val="footer"/>
    <w:basedOn w:val="Normal"/>
    <w:link w:val="FooterChar"/>
    <w:uiPriority w:val="99"/>
    <w:unhideWhenUsed/>
    <w:rsid w:val="00481BAC"/>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481BAC"/>
    <w:rPr>
      <w:rFonts w:cs="Times New Roman"/>
      <w:lang w:val="bg-BG" w:eastAsia="bg-BG"/>
    </w:rPr>
  </w:style>
  <w:style w:type="character" w:styleId="Hyperlink">
    <w:name w:val="Hyperlink"/>
    <w:basedOn w:val="DefaultParagraphFont"/>
    <w:uiPriority w:val="99"/>
    <w:unhideWhenUsed/>
    <w:rsid w:val="00481BAC"/>
    <w:rPr>
      <w:rFonts w:cs="Times New Roman"/>
      <w:color w:val="0000FF"/>
      <w:u w:val="single"/>
      <w:lang w:val="bg-BG" w:eastAsia="bg-BG"/>
    </w:rPr>
  </w:style>
  <w:style w:type="paragraph" w:styleId="BalloonText">
    <w:name w:val="Balloon Text"/>
    <w:basedOn w:val="Normal"/>
    <w:link w:val="BalloonTextChar"/>
    <w:uiPriority w:val="99"/>
    <w:semiHidden/>
    <w:unhideWhenUsed/>
    <w:rsid w:val="00481B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1BAC"/>
    <w:rPr>
      <w:rFonts w:ascii="Tahoma" w:hAnsi="Tahoma" w:cs="Tahoma"/>
      <w:sz w:val="16"/>
      <w:szCs w:val="16"/>
      <w:lang w:val="bg-BG" w:eastAsia="bg-BG"/>
    </w:rPr>
  </w:style>
  <w:style w:type="character" w:styleId="CommentReference">
    <w:name w:val="annotation reference"/>
    <w:basedOn w:val="DefaultParagraphFont"/>
    <w:uiPriority w:val="99"/>
    <w:semiHidden/>
    <w:unhideWhenUsed/>
    <w:rsid w:val="00481BAC"/>
    <w:rPr>
      <w:rFonts w:cs="Times New Roman"/>
      <w:sz w:val="16"/>
      <w:szCs w:val="16"/>
      <w:lang w:val="bg-BG" w:eastAsia="bg-BG"/>
    </w:rPr>
  </w:style>
  <w:style w:type="paragraph" w:styleId="CommentText">
    <w:name w:val="annotation text"/>
    <w:basedOn w:val="Normal"/>
    <w:link w:val="CommentTextChar"/>
    <w:uiPriority w:val="99"/>
    <w:unhideWhenUsed/>
    <w:rsid w:val="00481BAC"/>
    <w:pPr>
      <w:spacing w:line="240" w:lineRule="auto"/>
    </w:pPr>
    <w:rPr>
      <w:sz w:val="20"/>
      <w:szCs w:val="20"/>
    </w:rPr>
  </w:style>
  <w:style w:type="character" w:customStyle="1" w:styleId="CommentTextChar">
    <w:name w:val="Comment Text Char"/>
    <w:basedOn w:val="DefaultParagraphFont"/>
    <w:link w:val="CommentText"/>
    <w:uiPriority w:val="99"/>
    <w:locked/>
    <w:rsid w:val="00481BAC"/>
    <w:rPr>
      <w:rFonts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481BAC"/>
    <w:rPr>
      <w:b/>
      <w:bCs/>
    </w:rPr>
  </w:style>
  <w:style w:type="character" w:customStyle="1" w:styleId="CommentSubjectChar">
    <w:name w:val="Comment Subject Char"/>
    <w:basedOn w:val="CommentTextChar"/>
    <w:link w:val="CommentSubject"/>
    <w:uiPriority w:val="99"/>
    <w:semiHidden/>
    <w:locked/>
    <w:rsid w:val="00481BAC"/>
    <w:rPr>
      <w:rFonts w:cs="Times New Roman"/>
      <w:b/>
      <w:bCs/>
      <w:sz w:val="20"/>
      <w:szCs w:val="20"/>
      <w:lang w:val="bg-BG" w:eastAsia="bg-BG"/>
    </w:rPr>
  </w:style>
  <w:style w:type="table" w:styleId="TableGrid">
    <w:name w:val="Table Grid"/>
    <w:basedOn w:val="TableNormal"/>
    <w:uiPriority w:val="59"/>
    <w:rsid w:val="00481BA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81BA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481BAC"/>
    <w:rPr>
      <w:rFonts w:ascii="Arial Black" w:hAnsi="Arial Black" w:cs="Times New Roman"/>
      <w:sz w:val="18"/>
      <w:lang w:val="bg-BG" w:eastAsia="bg-BG"/>
    </w:rPr>
  </w:style>
  <w:style w:type="character" w:styleId="Strong">
    <w:name w:val="Strong"/>
    <w:basedOn w:val="DefaultParagraphFont"/>
    <w:uiPriority w:val="22"/>
    <w:qFormat/>
    <w:rsid w:val="00481BAC"/>
    <w:rPr>
      <w:rFonts w:ascii="Calibri" w:hAnsi="Calibri" w:cs="Times New Roman"/>
      <w:bCs/>
      <w:color w:val="5F5F5F"/>
      <w:sz w:val="22"/>
      <w:lang w:val="bg-BG" w:eastAsia="bg-BG"/>
    </w:rPr>
  </w:style>
  <w:style w:type="paragraph" w:styleId="NormalWeb">
    <w:name w:val="Normal (Web)"/>
    <w:basedOn w:val="Normal"/>
    <w:uiPriority w:val="99"/>
    <w:semiHidden/>
    <w:unhideWhenUsed/>
    <w:rsid w:val="00481BAC"/>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DefaultParagraphFont"/>
    <w:rsid w:val="00481BAC"/>
    <w:rPr>
      <w:rFonts w:cs="Times New Roman"/>
      <w:lang w:val="bg-BG" w:eastAsia="bg-BG"/>
    </w:rPr>
  </w:style>
  <w:style w:type="paragraph" w:customStyle="1" w:styleId="Default">
    <w:name w:val="Default"/>
    <w:rsid w:val="00481BAC"/>
    <w:pPr>
      <w:autoSpaceDE w:val="0"/>
      <w:autoSpaceDN w:val="0"/>
      <w:adjustRightInd w:val="0"/>
    </w:pPr>
    <w:rPr>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ikin-News@sheremarketing.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33C91-F556-4A7D-8D40-24335CE05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800</Words>
  <Characters>4403</Characters>
  <Application>Microsoft Office Word</Application>
  <DocSecurity>0</DocSecurity>
  <Lines>36</Lines>
  <Paragraphs>10</Paragraphs>
  <ScaleCrop>false</ScaleCrop>
  <Company/>
  <LinksUpToDate>false</LinksUpToDate>
  <CharactersWithSpaces>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2017-02-14T09:03:00Z</cp:lastPrinted>
  <dcterms:created xsi:type="dcterms:W3CDTF">2017-02-14T09:00:00Z</dcterms:created>
  <dcterms:modified xsi:type="dcterms:W3CDTF">2017-02-14T09:16:00Z</dcterms:modified>
</cp:coreProperties>
</file>