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930" w:type="dxa"/>
        <w:tblInd w:w="274" w:type="dxa"/>
        <w:tblCellMar>
          <w:left w:w="0" w:type="dxa"/>
          <w:right w:w="0" w:type="dxa"/>
        </w:tblCellMar>
        <w:tblLook w:val="04A0" w:firstRow="1" w:lastRow="0" w:firstColumn="1" w:lastColumn="0" w:noHBand="0" w:noVBand="1"/>
      </w:tblPr>
      <w:tblGrid>
        <w:gridCol w:w="1994"/>
        <w:gridCol w:w="6936"/>
      </w:tblGrid>
      <w:tr w:rsidR="00863D30" w:rsidRPr="00E2557B" w14:paraId="0A91C817" w14:textId="77777777" w:rsidTr="00F7417A">
        <w:tc>
          <w:tcPr>
            <w:tcW w:w="19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02E25AE" w14:textId="77777777" w:rsidR="00863D30" w:rsidRPr="00307C0B" w:rsidRDefault="00863D30" w:rsidP="00F7417A">
            <w:pPr>
              <w:autoSpaceDE w:val="0"/>
              <w:autoSpaceDN w:val="0"/>
              <w:spacing w:line="360" w:lineRule="auto"/>
              <w:rPr>
                <w:rFonts w:cstheme="majorHAnsi"/>
                <w:lang w:eastAsia="en-US"/>
              </w:rPr>
            </w:pPr>
            <w:r>
              <w:br w:type="page"/>
            </w:r>
            <w:r w:rsidRPr="00307C0B">
              <w:rPr>
                <w:rFonts w:cstheme="majorHAnsi"/>
                <w:lang w:eastAsia="en-US"/>
              </w:rPr>
              <w:t>Date</w:t>
            </w:r>
          </w:p>
        </w:tc>
        <w:tc>
          <w:tcPr>
            <w:tcW w:w="693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05683A50" w14:textId="052DE9CD" w:rsidR="00863D30" w:rsidRPr="00307C0B" w:rsidRDefault="00863D30" w:rsidP="00F7417A">
            <w:pPr>
              <w:autoSpaceDE w:val="0"/>
              <w:autoSpaceDN w:val="0"/>
              <w:spacing w:line="360" w:lineRule="auto"/>
              <w:rPr>
                <w:rFonts w:cstheme="majorHAnsi"/>
                <w:lang w:eastAsia="en-US"/>
              </w:rPr>
            </w:pPr>
            <w:r>
              <w:rPr>
                <w:rFonts w:cstheme="majorHAnsi"/>
              </w:rPr>
              <w:t>12</w:t>
            </w:r>
            <w:r w:rsidRPr="00307C0B">
              <w:rPr>
                <w:rFonts w:cstheme="majorHAnsi"/>
                <w:lang w:eastAsia="en-US"/>
              </w:rPr>
              <w:t>/3/18</w:t>
            </w:r>
          </w:p>
        </w:tc>
      </w:tr>
      <w:tr w:rsidR="00863D30" w:rsidRPr="00E2557B" w14:paraId="4EF11076" w14:textId="77777777" w:rsidTr="00F7417A">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5B5BE9C" w14:textId="77777777" w:rsidR="00863D30" w:rsidRPr="00307C0B" w:rsidRDefault="00863D30" w:rsidP="00F7417A">
            <w:pPr>
              <w:autoSpaceDE w:val="0"/>
              <w:autoSpaceDN w:val="0"/>
              <w:spacing w:line="360" w:lineRule="auto"/>
              <w:rPr>
                <w:rFonts w:cstheme="majorHAnsi"/>
                <w:lang w:eastAsia="en-US"/>
              </w:rPr>
            </w:pPr>
            <w:r w:rsidRPr="00307C0B">
              <w:rPr>
                <w:rFonts w:cstheme="majorHAnsi"/>
                <w:lang w:eastAsia="en-US"/>
              </w:rPr>
              <w:t>Job number</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785E2652" w14:textId="3B8AADB0" w:rsidR="00863D30" w:rsidRPr="00307C0B" w:rsidRDefault="00863D30" w:rsidP="00F7417A">
            <w:pPr>
              <w:autoSpaceDE w:val="0"/>
              <w:autoSpaceDN w:val="0"/>
              <w:spacing w:line="360" w:lineRule="auto"/>
              <w:rPr>
                <w:rFonts w:cstheme="majorHAnsi"/>
                <w:lang w:eastAsia="en-US"/>
              </w:rPr>
            </w:pPr>
            <w:r w:rsidRPr="00307C0B">
              <w:rPr>
                <w:rFonts w:cstheme="majorHAnsi"/>
                <w:lang w:eastAsia="en-US"/>
              </w:rPr>
              <w:t>DEU18-</w:t>
            </w:r>
            <w:r>
              <w:rPr>
                <w:rFonts w:cstheme="majorHAnsi"/>
              </w:rPr>
              <w:t>016</w:t>
            </w:r>
          </w:p>
        </w:tc>
      </w:tr>
      <w:tr w:rsidR="00863D30" w:rsidRPr="00E2557B" w14:paraId="03EF4606" w14:textId="77777777" w:rsidTr="00F7417A">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1115A0F" w14:textId="77777777" w:rsidR="00863D30" w:rsidRPr="00307C0B" w:rsidRDefault="00863D30" w:rsidP="00F7417A">
            <w:pPr>
              <w:autoSpaceDE w:val="0"/>
              <w:autoSpaceDN w:val="0"/>
              <w:spacing w:line="360" w:lineRule="auto"/>
              <w:rPr>
                <w:rFonts w:cstheme="majorHAnsi"/>
                <w:lang w:eastAsia="en-US"/>
              </w:rPr>
            </w:pPr>
            <w:r w:rsidRPr="00307C0B">
              <w:rPr>
                <w:rFonts w:cstheme="majorHAnsi"/>
                <w:lang w:eastAsia="en-US"/>
              </w:rPr>
              <w:t>Job description</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61B8A719" w14:textId="5F29531C" w:rsidR="00863D30" w:rsidRPr="00307C0B" w:rsidRDefault="00863D30" w:rsidP="00F7417A">
            <w:pPr>
              <w:autoSpaceDE w:val="0"/>
              <w:autoSpaceDN w:val="0"/>
              <w:spacing w:line="360" w:lineRule="auto"/>
              <w:rPr>
                <w:rFonts w:cstheme="majorHAnsi"/>
                <w:lang w:eastAsia="en-US"/>
              </w:rPr>
            </w:pPr>
            <w:r w:rsidRPr="00863D30">
              <w:rPr>
                <w:rFonts w:cstheme="majorHAnsi"/>
              </w:rPr>
              <w:t>DAIKIN takes the next step</w:t>
            </w:r>
            <w:r>
              <w:rPr>
                <w:rFonts w:cstheme="majorHAnsi"/>
              </w:rPr>
              <w:t xml:space="preserve">- </w:t>
            </w:r>
            <w:r w:rsidRPr="00863D30">
              <w:rPr>
                <w:rFonts w:cstheme="majorHAnsi"/>
              </w:rPr>
              <w:t>circular economy of refrigerants</w:t>
            </w:r>
          </w:p>
        </w:tc>
      </w:tr>
      <w:tr w:rsidR="00863D30" w:rsidRPr="00E2557B" w14:paraId="3EC6B4E3" w14:textId="77777777" w:rsidTr="00F7417A">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D5E02CA" w14:textId="77777777" w:rsidR="00863D30" w:rsidRPr="00307C0B" w:rsidRDefault="00863D30" w:rsidP="00F7417A">
            <w:pPr>
              <w:autoSpaceDE w:val="0"/>
              <w:autoSpaceDN w:val="0"/>
              <w:spacing w:line="360" w:lineRule="auto"/>
              <w:rPr>
                <w:rFonts w:cstheme="majorHAnsi"/>
                <w:lang w:eastAsia="en-US"/>
              </w:rPr>
            </w:pPr>
            <w:r w:rsidRPr="00307C0B">
              <w:rPr>
                <w:rFonts w:cstheme="majorHAnsi"/>
                <w:lang w:eastAsia="en-US"/>
              </w:rPr>
              <w:t>Category</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6A9DB21B" w14:textId="77777777" w:rsidR="00863D30" w:rsidRPr="00307C0B" w:rsidRDefault="00863D30" w:rsidP="00F7417A">
            <w:pPr>
              <w:autoSpaceDE w:val="0"/>
              <w:autoSpaceDN w:val="0"/>
              <w:spacing w:line="360" w:lineRule="auto"/>
              <w:rPr>
                <w:rFonts w:cstheme="majorHAnsi"/>
                <w:lang w:eastAsia="en-US"/>
              </w:rPr>
            </w:pPr>
            <w:r w:rsidRPr="00307C0B">
              <w:rPr>
                <w:rFonts w:cstheme="majorHAnsi"/>
                <w:lang w:eastAsia="en-US"/>
              </w:rPr>
              <w:t xml:space="preserve">Press release </w:t>
            </w:r>
          </w:p>
        </w:tc>
      </w:tr>
      <w:tr w:rsidR="00863D30" w:rsidRPr="00E2557B" w14:paraId="45416E9E" w14:textId="77777777" w:rsidTr="00F7417A">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81644B3" w14:textId="77777777" w:rsidR="00863D30" w:rsidRPr="00307C0B" w:rsidRDefault="00863D30" w:rsidP="00F7417A">
            <w:pPr>
              <w:autoSpaceDE w:val="0"/>
              <w:autoSpaceDN w:val="0"/>
              <w:spacing w:line="360" w:lineRule="auto"/>
              <w:rPr>
                <w:rFonts w:cstheme="majorHAnsi"/>
                <w:lang w:eastAsia="en-US"/>
              </w:rPr>
            </w:pPr>
            <w:r w:rsidRPr="00307C0B">
              <w:rPr>
                <w:rFonts w:cstheme="majorHAnsi"/>
                <w:lang w:eastAsia="en-US"/>
              </w:rPr>
              <w:t xml:space="preserve">Audience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395677DF" w14:textId="1D159126" w:rsidR="00863D30" w:rsidRPr="00307C0B" w:rsidRDefault="00C726FB" w:rsidP="00C726FB">
            <w:pPr>
              <w:spacing w:line="360" w:lineRule="auto"/>
              <w:rPr>
                <w:rFonts w:cstheme="majorHAnsi"/>
                <w:lang w:eastAsia="en-US"/>
              </w:rPr>
            </w:pPr>
            <w:r>
              <w:rPr>
                <w:rFonts w:cstheme="majorHAnsi"/>
                <w:lang w:eastAsia="en-US"/>
              </w:rPr>
              <w:t xml:space="preserve">Trade press, </w:t>
            </w:r>
            <w:r w:rsidR="00863D30" w:rsidRPr="00307C0B">
              <w:rPr>
                <w:rFonts w:cstheme="majorHAnsi"/>
                <w:lang w:eastAsia="en-US"/>
              </w:rPr>
              <w:t>installers</w:t>
            </w:r>
          </w:p>
        </w:tc>
      </w:tr>
      <w:tr w:rsidR="00863D30" w:rsidRPr="00E2557B" w14:paraId="7E74FC4B" w14:textId="77777777" w:rsidTr="00F7417A">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A3D7D9C" w14:textId="77777777" w:rsidR="00863D30" w:rsidRPr="00307C0B" w:rsidRDefault="00863D30" w:rsidP="00F7417A">
            <w:pPr>
              <w:autoSpaceDE w:val="0"/>
              <w:autoSpaceDN w:val="0"/>
              <w:spacing w:line="360" w:lineRule="auto"/>
              <w:rPr>
                <w:rFonts w:cstheme="majorHAnsi"/>
                <w:lang w:eastAsia="en-US"/>
              </w:rPr>
            </w:pPr>
            <w:r w:rsidRPr="00307C0B">
              <w:rPr>
                <w:rFonts w:cstheme="majorHAnsi"/>
                <w:lang w:eastAsia="en-US"/>
              </w:rPr>
              <w:t xml:space="preserve">Sectors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2408BE30" w14:textId="631F1660" w:rsidR="00863D30" w:rsidRPr="00307C0B" w:rsidRDefault="00C726FB" w:rsidP="00F7417A">
            <w:pPr>
              <w:spacing w:line="360" w:lineRule="auto"/>
              <w:rPr>
                <w:rFonts w:cstheme="majorHAnsi"/>
                <w:lang w:eastAsia="en-US"/>
              </w:rPr>
            </w:pPr>
            <w:r>
              <w:rPr>
                <w:rFonts w:cstheme="majorHAnsi"/>
              </w:rPr>
              <w:t>General</w:t>
            </w:r>
          </w:p>
        </w:tc>
      </w:tr>
      <w:tr w:rsidR="00863D30" w:rsidRPr="00E2557B" w14:paraId="3A0910F4" w14:textId="77777777" w:rsidTr="00F7417A">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8FFC6AD" w14:textId="77777777" w:rsidR="00863D30" w:rsidRPr="00307C0B" w:rsidRDefault="00863D30" w:rsidP="00F7417A">
            <w:pPr>
              <w:autoSpaceDE w:val="0"/>
              <w:autoSpaceDN w:val="0"/>
              <w:spacing w:line="360" w:lineRule="auto"/>
              <w:rPr>
                <w:rFonts w:cstheme="majorHAnsi"/>
                <w:lang w:eastAsia="en-US"/>
              </w:rPr>
            </w:pPr>
            <w:r w:rsidRPr="00307C0B">
              <w:rPr>
                <w:rFonts w:cstheme="majorHAnsi"/>
                <w:lang w:eastAsia="en-US"/>
              </w:rPr>
              <w:t xml:space="preserve">Tags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3775B763" w14:textId="689278DB" w:rsidR="00863D30" w:rsidRPr="00307C0B" w:rsidRDefault="00863D30" w:rsidP="00F7417A">
            <w:pPr>
              <w:spacing w:line="360" w:lineRule="auto"/>
              <w:rPr>
                <w:rFonts w:cstheme="majorHAnsi"/>
                <w:lang w:eastAsia="en-US"/>
              </w:rPr>
            </w:pPr>
            <w:r>
              <w:rPr>
                <w:rFonts w:cstheme="majorHAnsi"/>
              </w:rPr>
              <w:t xml:space="preserve">Low GWP – refrigerant </w:t>
            </w:r>
            <w:r w:rsidRPr="00863D30">
              <w:rPr>
                <w:rFonts w:cstheme="majorHAnsi"/>
              </w:rPr>
              <w:t>– F-Gas - HVACR</w:t>
            </w:r>
          </w:p>
        </w:tc>
      </w:tr>
      <w:tr w:rsidR="00863D30" w:rsidRPr="00E2557B" w14:paraId="1FBDEBAC" w14:textId="77777777" w:rsidTr="00F7417A">
        <w:trPr>
          <w:trHeight w:val="1289"/>
        </w:trPr>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8DC3F21" w14:textId="77777777" w:rsidR="00863D30" w:rsidRPr="00307C0B" w:rsidRDefault="00863D30" w:rsidP="00F7417A">
            <w:pPr>
              <w:autoSpaceDE w:val="0"/>
              <w:autoSpaceDN w:val="0"/>
              <w:spacing w:line="360" w:lineRule="auto"/>
              <w:rPr>
                <w:rFonts w:cstheme="majorHAnsi"/>
                <w:lang w:eastAsia="en-US"/>
              </w:rPr>
            </w:pPr>
            <w:r w:rsidRPr="00307C0B">
              <w:rPr>
                <w:rFonts w:cstheme="majorHAnsi"/>
                <w:lang w:eastAsia="en-US"/>
              </w:rPr>
              <w:t xml:space="preserve">Tweet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046E8A57" w14:textId="213F20DC" w:rsidR="00863D30" w:rsidRPr="00B85CC5" w:rsidRDefault="00863D30" w:rsidP="00F7417A">
            <w:pPr>
              <w:spacing w:line="360" w:lineRule="auto"/>
              <w:rPr>
                <w:rFonts w:cstheme="majorHAnsi"/>
                <w:b/>
              </w:rPr>
            </w:pPr>
            <w:r>
              <w:rPr>
                <w:rFonts w:cstheme="majorHAnsi"/>
                <w:b/>
              </w:rPr>
              <w:t xml:space="preserve">Sustainable #HVACR - #Daikin invests in a circular economy of refrigerants </w:t>
            </w:r>
          </w:p>
        </w:tc>
      </w:tr>
      <w:tr w:rsidR="00863D30" w:rsidRPr="00E2557B" w14:paraId="4F8EA113" w14:textId="77777777" w:rsidTr="00F7417A">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406E493" w14:textId="77777777" w:rsidR="00863D30" w:rsidRPr="00307C0B" w:rsidRDefault="00863D30" w:rsidP="00F7417A">
            <w:pPr>
              <w:autoSpaceDE w:val="0"/>
              <w:autoSpaceDN w:val="0"/>
              <w:spacing w:line="360" w:lineRule="auto"/>
              <w:rPr>
                <w:rFonts w:cstheme="majorHAnsi"/>
                <w:lang w:eastAsia="en-US"/>
              </w:rPr>
            </w:pPr>
            <w:r w:rsidRPr="00307C0B">
              <w:rPr>
                <w:rFonts w:cstheme="majorHAnsi"/>
                <w:lang w:eastAsia="en-US"/>
              </w:rPr>
              <w:t>Version</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277BB2FF" w14:textId="605BC139" w:rsidR="00863D30" w:rsidRPr="00307C0B" w:rsidRDefault="00863D30" w:rsidP="00F7417A">
            <w:pPr>
              <w:autoSpaceDE w:val="0"/>
              <w:autoSpaceDN w:val="0"/>
              <w:spacing w:line="360" w:lineRule="auto"/>
              <w:rPr>
                <w:rFonts w:cstheme="majorHAnsi"/>
                <w:lang w:eastAsia="en-US"/>
              </w:rPr>
            </w:pPr>
            <w:r w:rsidRPr="00307C0B">
              <w:rPr>
                <w:rFonts w:cstheme="majorHAnsi"/>
                <w:lang w:eastAsia="en-US"/>
              </w:rPr>
              <w:t>V</w:t>
            </w:r>
            <w:r>
              <w:rPr>
                <w:rFonts w:cstheme="majorHAnsi"/>
                <w:lang w:eastAsia="en-US"/>
              </w:rPr>
              <w:t>1</w:t>
            </w:r>
            <w:r w:rsidRPr="00307C0B">
              <w:rPr>
                <w:rFonts w:cstheme="majorHAnsi"/>
                <w:lang w:eastAsia="en-US"/>
              </w:rPr>
              <w:t>.0</w:t>
            </w:r>
          </w:p>
        </w:tc>
      </w:tr>
      <w:tr w:rsidR="00863D30" w:rsidRPr="00E2557B" w14:paraId="7225FB3E" w14:textId="77777777" w:rsidTr="00F7417A">
        <w:tc>
          <w:tcPr>
            <w:tcW w:w="1994" w:type="dxa"/>
            <w:tcBorders>
              <w:top w:val="single" w:sz="8" w:space="0" w:color="000000"/>
              <w:left w:val="single" w:sz="8" w:space="0" w:color="000000"/>
              <w:bottom w:val="single" w:sz="4" w:space="0" w:color="auto"/>
              <w:right w:val="single" w:sz="8" w:space="0" w:color="000000"/>
            </w:tcBorders>
            <w:tcMar>
              <w:top w:w="0" w:type="dxa"/>
              <w:left w:w="108" w:type="dxa"/>
              <w:bottom w:w="0" w:type="dxa"/>
              <w:right w:w="108" w:type="dxa"/>
            </w:tcMar>
            <w:hideMark/>
          </w:tcPr>
          <w:p w14:paraId="2DC637D6" w14:textId="77777777" w:rsidR="00863D30" w:rsidRPr="00307C0B" w:rsidRDefault="00863D30" w:rsidP="00F7417A">
            <w:pPr>
              <w:autoSpaceDE w:val="0"/>
              <w:autoSpaceDN w:val="0"/>
              <w:spacing w:line="360" w:lineRule="auto"/>
              <w:rPr>
                <w:rFonts w:cstheme="majorHAnsi"/>
                <w:lang w:eastAsia="en-US"/>
              </w:rPr>
            </w:pPr>
            <w:r w:rsidRPr="00307C0B">
              <w:rPr>
                <w:rFonts w:cstheme="majorHAnsi"/>
                <w:lang w:eastAsia="en-US"/>
              </w:rPr>
              <w:t>Owner</w:t>
            </w:r>
          </w:p>
        </w:tc>
        <w:tc>
          <w:tcPr>
            <w:tcW w:w="6936" w:type="dxa"/>
            <w:tcBorders>
              <w:top w:val="single" w:sz="8" w:space="0" w:color="000000"/>
              <w:left w:val="nil"/>
              <w:bottom w:val="single" w:sz="4" w:space="0" w:color="auto"/>
              <w:right w:val="single" w:sz="8" w:space="0" w:color="000000"/>
            </w:tcBorders>
            <w:tcMar>
              <w:top w:w="0" w:type="dxa"/>
              <w:left w:w="108" w:type="dxa"/>
              <w:bottom w:w="0" w:type="dxa"/>
              <w:right w:w="108" w:type="dxa"/>
            </w:tcMar>
            <w:hideMark/>
          </w:tcPr>
          <w:p w14:paraId="2858CFBB" w14:textId="1C3346F4" w:rsidR="00863D30" w:rsidRPr="00307C0B" w:rsidRDefault="00863D30" w:rsidP="00F7417A">
            <w:pPr>
              <w:spacing w:line="360" w:lineRule="auto"/>
              <w:ind w:right="1406"/>
              <w:rPr>
                <w:rFonts w:cstheme="majorHAnsi"/>
                <w:lang w:val="en" w:eastAsia="en-US"/>
              </w:rPr>
            </w:pPr>
            <w:r>
              <w:rPr>
                <w:rFonts w:cstheme="majorHAnsi"/>
                <w:lang w:val="en"/>
              </w:rPr>
              <w:t>Gill De Bruyne</w:t>
            </w:r>
          </w:p>
        </w:tc>
      </w:tr>
    </w:tbl>
    <w:p w14:paraId="68A96C39" w14:textId="73C141B6" w:rsidR="00863D30" w:rsidRDefault="00863D30">
      <w:pPr>
        <w:rPr>
          <w:rFonts w:eastAsia="MS Mincho" w:cs="Times New Roman"/>
          <w:iCs/>
          <w:color w:val="0083C1" w:themeColor="background1"/>
          <w:kern w:val="32"/>
          <w:sz w:val="36"/>
          <w:szCs w:val="28"/>
          <w:lang w:val="en-GB"/>
        </w:rPr>
      </w:pPr>
    </w:p>
    <w:p w14:paraId="4E55C7BB" w14:textId="77777777" w:rsidR="00807023" w:rsidRPr="00807023" w:rsidRDefault="00807023">
      <w:pPr>
        <w:rPr>
          <w:color w:val="FF0000"/>
          <w:sz w:val="32"/>
        </w:rPr>
      </w:pPr>
      <w:r w:rsidRPr="00807023">
        <w:rPr>
          <w:color w:val="FF0000"/>
          <w:sz w:val="32"/>
        </w:rPr>
        <w:t>Do not distribute this press release before 14/03/2018 – 16h</w:t>
      </w:r>
    </w:p>
    <w:p w14:paraId="486FC5F0" w14:textId="3C8894C4" w:rsidR="00863D30" w:rsidRDefault="00807023">
      <w:pPr>
        <w:rPr>
          <w:rFonts w:eastAsia="MS Mincho" w:cs="Times New Roman"/>
          <w:iCs/>
          <w:color w:val="0083C1" w:themeColor="background1"/>
          <w:kern w:val="32"/>
          <w:sz w:val="36"/>
          <w:szCs w:val="28"/>
          <w:lang w:val="en-GB"/>
        </w:rPr>
      </w:pPr>
      <w:r w:rsidRPr="00807023">
        <w:rPr>
          <w:color w:val="FF0000"/>
          <w:sz w:val="32"/>
        </w:rPr>
        <w:t>Do not translate this press release</w:t>
      </w:r>
      <w:r w:rsidR="00863D30">
        <w:br w:type="page"/>
      </w:r>
    </w:p>
    <w:p w14:paraId="59BFED4B" w14:textId="4C50879F" w:rsidR="006A5B5D" w:rsidRPr="006A5B5D" w:rsidRDefault="00A106A4" w:rsidP="005B4729">
      <w:pPr>
        <w:pStyle w:val="Headline"/>
      </w:pPr>
      <w:r w:rsidRPr="00A106A4">
        <w:lastRenderedPageBreak/>
        <w:t>DAIKIN takes the next step towards a sustainable air conditioning, heating and refrigeration industry by investing in a circular economy of refrigerants.</w:t>
      </w:r>
    </w:p>
    <w:p w14:paraId="32FF3854" w14:textId="5338480E" w:rsidR="005250A2" w:rsidRDefault="00807023" w:rsidP="009B6529">
      <w:pPr>
        <w:pStyle w:val="BodyCopy"/>
      </w:pPr>
      <w:r>
        <w:t>March 14</w:t>
      </w:r>
      <w:bookmarkStart w:id="0" w:name="_GoBack"/>
      <w:bookmarkEnd w:id="0"/>
      <w:r w:rsidR="006A5B5D">
        <w:t>, 2018</w:t>
      </w:r>
    </w:p>
    <w:p w14:paraId="1C1E7701" w14:textId="5EE65D74" w:rsidR="00A106A4" w:rsidRDefault="00A106A4" w:rsidP="006A5B5D">
      <w:pPr>
        <w:pStyle w:val="Subheading"/>
        <w:rPr>
          <w:rFonts w:eastAsiaTheme="minorEastAsia" w:cstheme="minorBidi"/>
          <w:bCs w:val="0"/>
          <w:color w:val="auto"/>
          <w:sz w:val="22"/>
          <w:szCs w:val="22"/>
          <w:lang w:val="en-US"/>
        </w:rPr>
      </w:pPr>
      <w:r w:rsidRPr="00A106A4">
        <w:rPr>
          <w:rFonts w:eastAsiaTheme="minorEastAsia" w:cstheme="minorBidi"/>
          <w:bCs w:val="0"/>
          <w:color w:val="auto"/>
          <w:sz w:val="22"/>
          <w:szCs w:val="22"/>
          <w:lang w:val="en-US"/>
        </w:rPr>
        <w:t>The HVACR industry is currently feeling the impact of the EU F gas regulation</w:t>
      </w:r>
      <w:r w:rsidRPr="00A106A4">
        <w:rPr>
          <w:rFonts w:eastAsiaTheme="minorEastAsia" w:cstheme="minorBidi"/>
          <w:bCs w:val="0"/>
          <w:color w:val="auto"/>
          <w:sz w:val="22"/>
          <w:szCs w:val="22"/>
          <w:vertAlign w:val="superscript"/>
          <w:lang w:val="en-US"/>
        </w:rPr>
        <w:t>i</w:t>
      </w:r>
      <w:r w:rsidRPr="00A106A4">
        <w:rPr>
          <w:rFonts w:eastAsiaTheme="minorEastAsia" w:cstheme="minorBidi"/>
          <w:bCs w:val="0"/>
          <w:color w:val="auto"/>
          <w:sz w:val="22"/>
          <w:szCs w:val="22"/>
          <w:lang w:val="en-US"/>
        </w:rPr>
        <w:t>.  The HFC phase down step in 2018 requires a reduction of CO2equivalent consumption to 63% of the baseline period, and a reduction to 21% is needed from 2030 onwards.</w:t>
      </w:r>
    </w:p>
    <w:p w14:paraId="21EF2D49" w14:textId="238EFFF3" w:rsidR="00A106A4" w:rsidRPr="00A106A4" w:rsidRDefault="00A106A4" w:rsidP="00A106A4">
      <w:pPr>
        <w:pStyle w:val="Subheading"/>
        <w:rPr>
          <w:rFonts w:eastAsiaTheme="minorEastAsia" w:cstheme="minorBidi"/>
          <w:bCs w:val="0"/>
          <w:color w:val="auto"/>
          <w:sz w:val="22"/>
          <w:szCs w:val="22"/>
          <w:lang w:val="en-US"/>
        </w:rPr>
      </w:pPr>
      <w:r w:rsidRPr="00A106A4">
        <w:rPr>
          <w:rFonts w:eastAsiaTheme="minorEastAsia" w:cstheme="minorBidi"/>
          <w:bCs w:val="0"/>
          <w:color w:val="auto"/>
          <w:sz w:val="22"/>
          <w:szCs w:val="22"/>
          <w:lang w:val="en-US"/>
        </w:rPr>
        <w:t>Several studies</w:t>
      </w:r>
      <w:r w:rsidRPr="00A106A4">
        <w:rPr>
          <w:rFonts w:eastAsiaTheme="minorEastAsia" w:cstheme="minorBidi"/>
          <w:bCs w:val="0"/>
          <w:color w:val="auto"/>
          <w:sz w:val="22"/>
          <w:szCs w:val="22"/>
          <w:vertAlign w:val="superscript"/>
          <w:lang w:val="en-US"/>
        </w:rPr>
        <w:t>ii</w:t>
      </w:r>
      <w:r w:rsidRPr="00A106A4">
        <w:rPr>
          <w:rFonts w:eastAsiaTheme="minorEastAsia" w:cstheme="minorBidi"/>
          <w:bCs w:val="0"/>
          <w:color w:val="auto"/>
          <w:sz w:val="22"/>
          <w:szCs w:val="22"/>
          <w:lang w:val="en-US"/>
        </w:rPr>
        <w:t xml:space="preserve"> have shown that a combination of actions can contribute to achieving these targets: </w:t>
      </w:r>
    </w:p>
    <w:p w14:paraId="6FA90336" w14:textId="13F07BE6" w:rsidR="00A106A4" w:rsidRPr="00A106A4" w:rsidRDefault="00A106A4" w:rsidP="004A0654">
      <w:pPr>
        <w:pStyle w:val="Subheading"/>
        <w:numPr>
          <w:ilvl w:val="0"/>
          <w:numId w:val="25"/>
        </w:numPr>
        <w:rPr>
          <w:rFonts w:eastAsiaTheme="minorEastAsia" w:cstheme="minorBidi"/>
          <w:bCs w:val="0"/>
          <w:color w:val="auto"/>
          <w:sz w:val="22"/>
          <w:szCs w:val="22"/>
          <w:lang w:val="en-US"/>
        </w:rPr>
      </w:pPr>
      <w:r w:rsidRPr="00A106A4">
        <w:rPr>
          <w:rFonts w:eastAsiaTheme="minorEastAsia" w:cstheme="minorBidi"/>
          <w:bCs w:val="0"/>
          <w:color w:val="auto"/>
          <w:sz w:val="22"/>
          <w:szCs w:val="22"/>
          <w:lang w:val="en-US"/>
        </w:rPr>
        <w:t>Conversion to refrigerants with a lower GWP value</w:t>
      </w:r>
    </w:p>
    <w:p w14:paraId="41ED2993" w14:textId="735A74C4" w:rsidR="00A106A4" w:rsidRPr="00A106A4" w:rsidRDefault="00A106A4" w:rsidP="004A0654">
      <w:pPr>
        <w:pStyle w:val="Subheading"/>
        <w:numPr>
          <w:ilvl w:val="0"/>
          <w:numId w:val="25"/>
        </w:numPr>
        <w:rPr>
          <w:rFonts w:eastAsiaTheme="minorEastAsia" w:cstheme="minorBidi"/>
          <w:bCs w:val="0"/>
          <w:color w:val="auto"/>
          <w:sz w:val="22"/>
          <w:szCs w:val="22"/>
          <w:lang w:val="en-US"/>
        </w:rPr>
      </w:pPr>
      <w:r w:rsidRPr="00A106A4">
        <w:rPr>
          <w:rFonts w:eastAsiaTheme="minorEastAsia" w:cstheme="minorBidi"/>
          <w:bCs w:val="0"/>
          <w:color w:val="auto"/>
          <w:sz w:val="22"/>
          <w:szCs w:val="22"/>
          <w:lang w:val="en-US"/>
        </w:rPr>
        <w:t>Reduction of the amount of refrigerant charge</w:t>
      </w:r>
    </w:p>
    <w:p w14:paraId="4260C917" w14:textId="264D20AC" w:rsidR="00A106A4" w:rsidRPr="00A106A4" w:rsidRDefault="00A106A4" w:rsidP="004A0654">
      <w:pPr>
        <w:pStyle w:val="Subheading"/>
        <w:numPr>
          <w:ilvl w:val="0"/>
          <w:numId w:val="25"/>
        </w:numPr>
        <w:rPr>
          <w:rFonts w:eastAsiaTheme="minorEastAsia" w:cstheme="minorBidi"/>
          <w:bCs w:val="0"/>
          <w:color w:val="auto"/>
          <w:sz w:val="22"/>
          <w:szCs w:val="22"/>
          <w:lang w:val="en-US"/>
        </w:rPr>
      </w:pPr>
      <w:r w:rsidRPr="00A106A4">
        <w:rPr>
          <w:rFonts w:eastAsiaTheme="minorEastAsia" w:cstheme="minorBidi"/>
          <w:bCs w:val="0"/>
          <w:color w:val="auto"/>
          <w:sz w:val="22"/>
          <w:szCs w:val="22"/>
          <w:lang w:val="en-US"/>
        </w:rPr>
        <w:t>Further reduction of leakage</w:t>
      </w:r>
    </w:p>
    <w:p w14:paraId="160F4549" w14:textId="145DA0DE" w:rsidR="00A106A4" w:rsidRPr="00A106A4" w:rsidRDefault="00A106A4" w:rsidP="004A0654">
      <w:pPr>
        <w:pStyle w:val="Subheading"/>
        <w:numPr>
          <w:ilvl w:val="0"/>
          <w:numId w:val="25"/>
        </w:numPr>
        <w:rPr>
          <w:rFonts w:eastAsiaTheme="minorEastAsia" w:cstheme="minorBidi"/>
          <w:bCs w:val="0"/>
          <w:color w:val="auto"/>
          <w:sz w:val="22"/>
          <w:szCs w:val="22"/>
          <w:lang w:val="en-US"/>
        </w:rPr>
      </w:pPr>
      <w:r w:rsidRPr="00A106A4">
        <w:rPr>
          <w:rFonts w:eastAsiaTheme="minorEastAsia" w:cstheme="minorBidi"/>
          <w:bCs w:val="0"/>
          <w:color w:val="auto"/>
          <w:sz w:val="22"/>
          <w:szCs w:val="22"/>
          <w:lang w:val="en-US"/>
        </w:rPr>
        <w:t>Enhancing refrigerant recovery, reclamation and reuse</w:t>
      </w:r>
    </w:p>
    <w:p w14:paraId="075F7285" w14:textId="3F9D5ABA" w:rsidR="00A106A4" w:rsidRPr="00A106A4" w:rsidRDefault="00A106A4" w:rsidP="00A106A4">
      <w:pPr>
        <w:pStyle w:val="Subheading"/>
        <w:rPr>
          <w:rFonts w:eastAsiaTheme="minorEastAsia" w:cstheme="minorBidi"/>
          <w:bCs w:val="0"/>
          <w:color w:val="auto"/>
          <w:sz w:val="22"/>
          <w:szCs w:val="22"/>
          <w:lang w:val="en-US"/>
        </w:rPr>
      </w:pPr>
      <w:r w:rsidRPr="00A106A4">
        <w:rPr>
          <w:rFonts w:eastAsiaTheme="minorEastAsia" w:cstheme="minorBidi"/>
          <w:bCs w:val="0"/>
          <w:color w:val="auto"/>
          <w:sz w:val="22"/>
          <w:szCs w:val="22"/>
          <w:lang w:val="en-US"/>
        </w:rPr>
        <w:t>Daikin is committed to take actions on all these aspects. Because we have an important role to play as an equipment manufacturer and refrigerant producer, we are not only dedicated to improv</w:t>
      </w:r>
      <w:r w:rsidR="0070066D">
        <w:rPr>
          <w:rFonts w:eastAsiaTheme="minorEastAsia" w:cstheme="minorBidi"/>
          <w:bCs w:val="0"/>
          <w:color w:val="auto"/>
          <w:sz w:val="22"/>
          <w:szCs w:val="22"/>
          <w:lang w:val="en-US"/>
        </w:rPr>
        <w:t>e</w:t>
      </w:r>
      <w:r w:rsidRPr="00A106A4">
        <w:rPr>
          <w:rFonts w:eastAsiaTheme="minorEastAsia" w:cstheme="minorBidi"/>
          <w:bCs w:val="0"/>
          <w:color w:val="auto"/>
          <w:sz w:val="22"/>
          <w:szCs w:val="22"/>
          <w:lang w:val="en-US"/>
        </w:rPr>
        <w:t xml:space="preserve"> the sustainability of the Daikin business, but also to ensure a sustainable air conditioning, heating and refrigeration industry in general.  Addressing the sustainability challenges requires a comprehensive assessment for each application based on various aspects such as safety, energy efficiency, environmental impact and cost-effectiveness.  </w:t>
      </w:r>
    </w:p>
    <w:p w14:paraId="73B91156" w14:textId="074345DD" w:rsidR="00A106A4" w:rsidRPr="00A106A4" w:rsidRDefault="00A106A4" w:rsidP="00A106A4">
      <w:pPr>
        <w:pStyle w:val="Subheading"/>
        <w:rPr>
          <w:rFonts w:eastAsiaTheme="minorEastAsia" w:cstheme="minorBidi"/>
          <w:bCs w:val="0"/>
          <w:color w:val="auto"/>
          <w:sz w:val="22"/>
          <w:szCs w:val="22"/>
          <w:lang w:val="en-US"/>
        </w:rPr>
      </w:pPr>
      <w:r w:rsidRPr="00A106A4">
        <w:rPr>
          <w:rFonts w:eastAsiaTheme="minorEastAsia" w:cstheme="minorBidi"/>
          <w:bCs w:val="0"/>
          <w:color w:val="auto"/>
          <w:sz w:val="22"/>
          <w:szCs w:val="22"/>
          <w:lang w:val="en-US"/>
        </w:rPr>
        <w:t>In 2015, the global Daikin group explained its refrigerant policy and actions</w:t>
      </w:r>
      <w:r w:rsidRPr="00A106A4">
        <w:rPr>
          <w:rFonts w:eastAsiaTheme="minorEastAsia" w:cstheme="minorBidi"/>
          <w:bCs w:val="0"/>
          <w:color w:val="auto"/>
          <w:sz w:val="22"/>
          <w:szCs w:val="22"/>
          <w:vertAlign w:val="superscript"/>
          <w:lang w:val="en-US"/>
        </w:rPr>
        <w:t>iii</w:t>
      </w:r>
      <w:r w:rsidRPr="00A106A4">
        <w:rPr>
          <w:rFonts w:eastAsiaTheme="minorEastAsia" w:cstheme="minorBidi"/>
          <w:bCs w:val="0"/>
          <w:color w:val="auto"/>
          <w:sz w:val="22"/>
          <w:szCs w:val="22"/>
          <w:lang w:val="en-US"/>
        </w:rPr>
        <w:t>, and has taken several actions since, based on a “Sooner, the Better” approach.   One of the mentioned actions is to “collaborate with stakeholders” for the recovery and reuse of refrigerants.</w:t>
      </w:r>
    </w:p>
    <w:p w14:paraId="345B10AE" w14:textId="27650C30" w:rsidR="00A106A4" w:rsidRDefault="00A106A4" w:rsidP="00A106A4">
      <w:pPr>
        <w:pStyle w:val="Subheading"/>
        <w:rPr>
          <w:rFonts w:eastAsiaTheme="minorEastAsia" w:cstheme="minorBidi"/>
          <w:bCs w:val="0"/>
          <w:color w:val="auto"/>
          <w:sz w:val="22"/>
          <w:szCs w:val="22"/>
          <w:lang w:val="en-US"/>
        </w:rPr>
      </w:pPr>
      <w:r w:rsidRPr="00A106A4">
        <w:rPr>
          <w:rFonts w:eastAsiaTheme="minorEastAsia" w:cstheme="minorBidi"/>
          <w:bCs w:val="0"/>
          <w:color w:val="auto"/>
          <w:sz w:val="22"/>
          <w:szCs w:val="22"/>
          <w:lang w:val="en-US"/>
        </w:rPr>
        <w:t>Daikin believes that recovery and reuse of refrigerants will support the long</w:t>
      </w:r>
      <w:r>
        <w:rPr>
          <w:rFonts w:eastAsiaTheme="minorEastAsia" w:cstheme="minorBidi"/>
          <w:bCs w:val="0"/>
          <w:color w:val="auto"/>
          <w:sz w:val="22"/>
          <w:szCs w:val="22"/>
          <w:lang w:val="en-US"/>
        </w:rPr>
        <w:t xml:space="preserve"> </w:t>
      </w:r>
      <w:r w:rsidRPr="00A106A4">
        <w:rPr>
          <w:rFonts w:eastAsiaTheme="minorEastAsia" w:cstheme="minorBidi"/>
          <w:bCs w:val="0"/>
          <w:color w:val="auto"/>
          <w:sz w:val="22"/>
          <w:szCs w:val="22"/>
          <w:lang w:val="en-US"/>
        </w:rPr>
        <w:t>term availability of HFCs for installation and maintenance of HVACR systems. The statistics of the European Environment Agency (EEA)</w:t>
      </w:r>
      <w:r w:rsidRPr="00A106A4">
        <w:rPr>
          <w:rFonts w:eastAsiaTheme="minorEastAsia" w:cstheme="minorBidi"/>
          <w:bCs w:val="0"/>
          <w:color w:val="auto"/>
          <w:sz w:val="22"/>
          <w:szCs w:val="22"/>
          <w:vertAlign w:val="superscript"/>
          <w:lang w:val="en-US"/>
        </w:rPr>
        <w:t>iv</w:t>
      </w:r>
      <w:r>
        <w:rPr>
          <w:rFonts w:eastAsiaTheme="minorEastAsia" w:cstheme="minorBidi"/>
          <w:bCs w:val="0"/>
          <w:color w:val="auto"/>
          <w:sz w:val="22"/>
          <w:szCs w:val="22"/>
          <w:lang w:val="en-US"/>
        </w:rPr>
        <w:t xml:space="preserve"> </w:t>
      </w:r>
      <w:r w:rsidRPr="00A106A4">
        <w:rPr>
          <w:rFonts w:eastAsiaTheme="minorEastAsia" w:cstheme="minorBidi"/>
          <w:bCs w:val="0"/>
          <w:color w:val="auto"/>
          <w:sz w:val="22"/>
          <w:szCs w:val="22"/>
          <w:lang w:val="en-US"/>
        </w:rPr>
        <w:t xml:space="preserve">already indicate a positive growing trend of reclaimed refrigerants in the European Union, but Daikin believes more can be done in order to create a circular economy of refrigerants.   Based on the experience of Daikin in Japan, Daikin Europe N.V. has decided to invest in recovery and reclaim of refrigerants.  As a first step, Daikin will reclaim refrigerants which were recovered through </w:t>
      </w:r>
      <w:r w:rsidRPr="00A106A4">
        <w:rPr>
          <w:rFonts w:eastAsiaTheme="minorEastAsia" w:cstheme="minorBidi"/>
          <w:bCs w:val="0"/>
          <w:color w:val="auto"/>
          <w:sz w:val="22"/>
          <w:szCs w:val="22"/>
          <w:lang w:val="en-US"/>
        </w:rPr>
        <w:lastRenderedPageBreak/>
        <w:t>its existing routes.  In a next step, Daikin will extend these routes in Europe in collaboration schemes with other stakeholders.</w:t>
      </w:r>
    </w:p>
    <w:p w14:paraId="6A9166F9" w14:textId="672860FB" w:rsidR="00A106A4" w:rsidRDefault="00A106A4" w:rsidP="00A106A4">
      <w:pPr>
        <w:pStyle w:val="Subheading"/>
        <w:rPr>
          <w:rFonts w:eastAsiaTheme="minorEastAsia" w:cstheme="minorBidi"/>
          <w:bCs w:val="0"/>
          <w:color w:val="auto"/>
          <w:sz w:val="22"/>
          <w:szCs w:val="22"/>
          <w:lang w:val="en-US"/>
        </w:rPr>
      </w:pPr>
    </w:p>
    <w:p w14:paraId="131D670F" w14:textId="7450B969" w:rsidR="00A106A4" w:rsidRDefault="00A106A4" w:rsidP="004A0654">
      <w:pPr>
        <w:pStyle w:val="Subheading"/>
        <w:jc w:val="center"/>
        <w:rPr>
          <w:rFonts w:eastAsiaTheme="minorEastAsia" w:cstheme="minorBidi"/>
          <w:bCs w:val="0"/>
          <w:color w:val="auto"/>
          <w:sz w:val="22"/>
          <w:szCs w:val="22"/>
          <w:lang w:val="en-US"/>
        </w:rPr>
      </w:pPr>
      <w:r>
        <w:rPr>
          <w:noProof/>
        </w:rPr>
        <w:drawing>
          <wp:inline distT="0" distB="0" distL="0" distR="0" wp14:anchorId="41DC08E3" wp14:editId="5181EE3B">
            <wp:extent cx="2957830" cy="2153920"/>
            <wp:effectExtent l="19050" t="19050" r="13970" b="17780"/>
            <wp:docPr id="1" name="図 2"/>
            <wp:cNvGraphicFramePr/>
            <a:graphic xmlns:a="http://schemas.openxmlformats.org/drawingml/2006/main">
              <a:graphicData uri="http://schemas.openxmlformats.org/drawingml/2006/picture">
                <pic:pic xmlns:pic="http://schemas.openxmlformats.org/drawingml/2006/picture">
                  <pic:nvPicPr>
                    <pic:cNvPr id="2" name="図 2"/>
                    <pic:cNvPicPr/>
                  </pic:nvPicPr>
                  <pic:blipFill rotWithShape="1">
                    <a:blip r:embed="rId9" cstate="print">
                      <a:extLst>
                        <a:ext uri="{28A0092B-C50C-407E-A947-70E740481C1C}">
                          <a14:useLocalDpi xmlns:a14="http://schemas.microsoft.com/office/drawing/2010/main" val="0"/>
                        </a:ext>
                      </a:extLst>
                    </a:blip>
                    <a:srcRect l="3620" t="3119" r="4571" b="5671"/>
                    <a:stretch/>
                  </pic:blipFill>
                  <pic:spPr bwMode="auto">
                    <a:xfrm>
                      <a:off x="0" y="0"/>
                      <a:ext cx="2957830" cy="2153920"/>
                    </a:xfrm>
                    <a:prstGeom prst="rect">
                      <a:avLst/>
                    </a:prstGeom>
                    <a:ln>
                      <a:solidFill>
                        <a:schemeClr val="tx1">
                          <a:lumMod val="65000"/>
                        </a:schemeClr>
                      </a:solidFill>
                    </a:ln>
                    <a:extLst>
                      <a:ext uri="{53640926-AAD7-44D8-BBD7-CCE9431645EC}">
                        <a14:shadowObscured xmlns:a14="http://schemas.microsoft.com/office/drawing/2010/main"/>
                      </a:ext>
                    </a:extLst>
                  </pic:spPr>
                </pic:pic>
              </a:graphicData>
            </a:graphic>
          </wp:inline>
        </w:drawing>
      </w:r>
    </w:p>
    <w:p w14:paraId="409C5058" w14:textId="35D4E565" w:rsidR="00A106A4" w:rsidRPr="00A106A4" w:rsidRDefault="00A106A4" w:rsidP="00A106A4">
      <w:pPr>
        <w:pStyle w:val="Subheading"/>
        <w:jc w:val="center"/>
        <w:rPr>
          <w:rFonts w:eastAsiaTheme="minorEastAsia" w:cstheme="minorBidi"/>
          <w:bCs w:val="0"/>
          <w:i/>
          <w:color w:val="auto"/>
          <w:sz w:val="22"/>
          <w:szCs w:val="22"/>
          <w:lang w:val="en-US"/>
        </w:rPr>
      </w:pPr>
      <w:r w:rsidRPr="00A106A4">
        <w:rPr>
          <w:rFonts w:eastAsiaTheme="minorEastAsia" w:cstheme="minorBidi"/>
          <w:bCs w:val="0"/>
          <w:i/>
          <w:color w:val="auto"/>
          <w:sz w:val="22"/>
          <w:szCs w:val="22"/>
          <w:lang w:val="en-US"/>
        </w:rPr>
        <w:t>Figure 1: The Challenge in Achieving a Sustainable Refrigerant Lifecycle</w:t>
      </w:r>
    </w:p>
    <w:p w14:paraId="49E28962" w14:textId="77777777" w:rsidR="004A0654" w:rsidRDefault="004A0654" w:rsidP="004A0654">
      <w:pPr>
        <w:pStyle w:val="BodyCopy"/>
      </w:pPr>
      <w:r>
        <w:t>Below are some other examples of Daikin actions to contribute to a phase down of HFC consumption (in CO2equivalent) and a sustainable air conditioning, heat pump and refrigeration industry:</w:t>
      </w:r>
    </w:p>
    <w:p w14:paraId="12BD5F14" w14:textId="644398B6" w:rsidR="004A0654" w:rsidRDefault="004A0654" w:rsidP="004A0654">
      <w:pPr>
        <w:pStyle w:val="BodyCopy"/>
        <w:numPr>
          <w:ilvl w:val="0"/>
          <w:numId w:val="24"/>
        </w:numPr>
      </w:pPr>
      <w:r>
        <w:t>Develop and produce refrigerants with a lower GWP such as R-407H for refrigeration applications.</w:t>
      </w:r>
    </w:p>
    <w:p w14:paraId="05F53A04" w14:textId="56706BAD" w:rsidR="004A0654" w:rsidRDefault="004A0654" w:rsidP="004A0654">
      <w:pPr>
        <w:pStyle w:val="BodyCopy"/>
        <w:numPr>
          <w:ilvl w:val="0"/>
          <w:numId w:val="24"/>
        </w:numPr>
      </w:pPr>
      <w:r>
        <w:t>Launch of equipment using lower GWP refrigerants, such as air conditioners and heat pumps with R-32 instead of R-410A and screw chillers using HFO R1234ze(E) instead of R-134a.    In the refrigeration market, use of R-410A and R-407H instead of R-404A, and non-HFC technology such as CO2.</w:t>
      </w:r>
    </w:p>
    <w:p w14:paraId="2BBF6453" w14:textId="1A5CFF20" w:rsidR="004A0654" w:rsidRDefault="004A0654" w:rsidP="004A0654">
      <w:pPr>
        <w:pStyle w:val="BodyCopy"/>
        <w:numPr>
          <w:ilvl w:val="0"/>
          <w:numId w:val="24"/>
        </w:numPr>
      </w:pPr>
      <w:r>
        <w:t>Since September 2015, Daikin has offered companies worldwide free access to 93 patents, to allow them to develop and commercialize air conditioning, cooling and heat pumps using R-32 as a single component refrigerant.</w:t>
      </w:r>
    </w:p>
    <w:p w14:paraId="687898D2" w14:textId="17CCB175" w:rsidR="004A0654" w:rsidRDefault="004A0654" w:rsidP="004A0654">
      <w:pPr>
        <w:pStyle w:val="BodyCopy"/>
        <w:numPr>
          <w:ilvl w:val="0"/>
          <w:numId w:val="24"/>
        </w:numPr>
      </w:pPr>
      <w:r>
        <w:t>Reduction of refrigerant charge by optimizing product designs, by using microchannel heat exchangers in air cooled chillers for example.</w:t>
      </w:r>
    </w:p>
    <w:p w14:paraId="758B93DE" w14:textId="07EB98AF" w:rsidR="004A0654" w:rsidRDefault="004A0654" w:rsidP="004A0654">
      <w:pPr>
        <w:pStyle w:val="BodyCopy"/>
        <w:numPr>
          <w:ilvl w:val="0"/>
          <w:numId w:val="24"/>
        </w:numPr>
      </w:pPr>
      <w:r>
        <w:t xml:space="preserve">Use of monitoring systems to allow service technicians to inspect tightness of systems both on site and remotely. </w:t>
      </w:r>
    </w:p>
    <w:p w14:paraId="0DC23E81" w14:textId="0837DF0C" w:rsidR="004A0654" w:rsidRDefault="004A0654" w:rsidP="004A0654">
      <w:pPr>
        <w:pStyle w:val="BodyCopy"/>
        <w:numPr>
          <w:ilvl w:val="0"/>
          <w:numId w:val="24"/>
        </w:numPr>
      </w:pPr>
      <w:r>
        <w:lastRenderedPageBreak/>
        <w:t>Contribution to standardisation committees to enhance the tightness of components and joints, to the safe use of lower GWP refrigerants and to the qualification of installation and service technicians for any type of refrigerant.</w:t>
      </w:r>
    </w:p>
    <w:p w14:paraId="58BF2392" w14:textId="6FE490A9" w:rsidR="004A0654" w:rsidRDefault="004A0654" w:rsidP="004A0654">
      <w:pPr>
        <w:pStyle w:val="BodyCopy"/>
        <w:jc w:val="center"/>
      </w:pPr>
      <w:r>
        <w:rPr>
          <w:noProof/>
          <w:lang w:val="en-GB"/>
        </w:rPr>
        <w:drawing>
          <wp:inline distT="0" distB="0" distL="0" distR="0" wp14:anchorId="0138AD0B" wp14:editId="70985D9E">
            <wp:extent cx="3717290" cy="1007745"/>
            <wp:effectExtent l="19050" t="19050" r="16510" b="20955"/>
            <wp:docPr id="3" name="図 3"/>
            <wp:cNvGraphicFramePr/>
            <a:graphic xmlns:a="http://schemas.openxmlformats.org/drawingml/2006/main">
              <a:graphicData uri="http://schemas.openxmlformats.org/drawingml/2006/picture">
                <pic:pic xmlns:pic="http://schemas.openxmlformats.org/drawingml/2006/picture">
                  <pic:nvPicPr>
                    <pic:cNvPr id="3" name="図 3"/>
                    <pic:cNvPicPr/>
                  </pic:nvPicPr>
                  <pic:blipFill rotWithShape="1">
                    <a:blip r:embed="rId10" cstate="print">
                      <a:extLst>
                        <a:ext uri="{28A0092B-C50C-407E-A947-70E740481C1C}">
                          <a14:useLocalDpi xmlns:a14="http://schemas.microsoft.com/office/drawing/2010/main" val="0"/>
                        </a:ext>
                      </a:extLst>
                    </a:blip>
                    <a:srcRect l="12654" t="27100" r="12378" b="13589"/>
                    <a:stretch/>
                  </pic:blipFill>
                  <pic:spPr bwMode="auto">
                    <a:xfrm>
                      <a:off x="0" y="0"/>
                      <a:ext cx="3717290" cy="1007745"/>
                    </a:xfrm>
                    <a:prstGeom prst="rect">
                      <a:avLst/>
                    </a:prstGeom>
                    <a:ln>
                      <a:solidFill>
                        <a:schemeClr val="tx1">
                          <a:lumMod val="65000"/>
                        </a:schemeClr>
                      </a:solidFill>
                    </a:ln>
                    <a:extLst>
                      <a:ext uri="{53640926-AAD7-44D8-BBD7-CCE9431645EC}">
                        <a14:shadowObscured xmlns:a14="http://schemas.microsoft.com/office/drawing/2010/main"/>
                      </a:ext>
                    </a:extLst>
                  </pic:spPr>
                </pic:pic>
              </a:graphicData>
            </a:graphic>
          </wp:inline>
        </w:drawing>
      </w:r>
    </w:p>
    <w:p w14:paraId="6B9AC0A9" w14:textId="77777777" w:rsidR="004A0654" w:rsidRDefault="004A0654" w:rsidP="004A0654">
      <w:pPr>
        <w:pStyle w:val="BodyCopy"/>
      </w:pPr>
    </w:p>
    <w:p w14:paraId="210AD729" w14:textId="6E9F2D53" w:rsidR="00D55C54" w:rsidRPr="004A0654" w:rsidRDefault="004A0654" w:rsidP="004A0654">
      <w:pPr>
        <w:pStyle w:val="BodyCopy"/>
        <w:jc w:val="center"/>
        <w:rPr>
          <w:i/>
        </w:rPr>
      </w:pPr>
      <w:r w:rsidRPr="004A0654">
        <w:rPr>
          <w:i/>
        </w:rPr>
        <w:t>Figure 2: Comprehensive approaches towards phase down of HFC consumption (in CO2equivalent)</w:t>
      </w:r>
    </w:p>
    <w:p w14:paraId="37ECFEC3" w14:textId="77777777" w:rsidR="00D55C54" w:rsidRDefault="00D55C54" w:rsidP="00D55C54">
      <w:pPr>
        <w:pStyle w:val="BodyCopy"/>
      </w:pPr>
    </w:p>
    <w:p w14:paraId="19F64187" w14:textId="77777777" w:rsidR="00D55C54" w:rsidRDefault="00D55C54" w:rsidP="00D55C54">
      <w:pPr>
        <w:pStyle w:val="Subheading"/>
      </w:pPr>
      <w:r>
        <w:t>Ends</w:t>
      </w:r>
    </w:p>
    <w:p w14:paraId="0E06587C" w14:textId="77777777" w:rsidR="004A0654" w:rsidRDefault="004A0654" w:rsidP="000264AA">
      <w:pPr>
        <w:pStyle w:val="ListParagraph"/>
        <w:numPr>
          <w:ilvl w:val="0"/>
          <w:numId w:val="27"/>
        </w:numPr>
      </w:pPr>
      <w:r>
        <w:t>Regulation EU 517/2014 of the European Parliament and of the Council of 16 April 2014 on fluorinated greenhouse gases.</w:t>
      </w:r>
    </w:p>
    <w:p w14:paraId="3A09ED13" w14:textId="58C148D7" w:rsidR="004A0654" w:rsidRDefault="004A0654" w:rsidP="004A0654">
      <w:pPr>
        <w:pStyle w:val="ListParagraph"/>
        <w:numPr>
          <w:ilvl w:val="0"/>
          <w:numId w:val="27"/>
        </w:numPr>
      </w:pPr>
      <w:r>
        <w:t xml:space="preserve">Phase Down of HFC Consumption in the EU – Assessment of Implications for the RAC Sector.  SKM Enviros, September 2012.    EPEE Gapometer (European Partnership for Energy and Environment) :  </w:t>
      </w:r>
      <w:hyperlink r:id="rId11" w:history="1">
        <w:r w:rsidRPr="00795DB6">
          <w:rPr>
            <w:rStyle w:val="Hyperlink"/>
          </w:rPr>
          <w:t>https://www.epeeglobal.org/refrigerants/the-gapometer-faq/</w:t>
        </w:r>
      </w:hyperlink>
    </w:p>
    <w:p w14:paraId="0508A5D8" w14:textId="1748362C" w:rsidR="004A0654" w:rsidRPr="00C726FB" w:rsidRDefault="004A0654" w:rsidP="003B74B8">
      <w:pPr>
        <w:pStyle w:val="ListParagraph"/>
        <w:numPr>
          <w:ilvl w:val="0"/>
          <w:numId w:val="27"/>
        </w:numPr>
        <w:rPr>
          <w:lang w:val="fr-BE"/>
        </w:rPr>
      </w:pPr>
      <w:r>
        <w:t xml:space="preserve">Daikin’s policy and comprehensive actions on the environmental impact of refrigerants.   </w:t>
      </w:r>
      <w:r w:rsidRPr="00C726FB">
        <w:rPr>
          <w:lang w:val="fr-BE"/>
        </w:rPr>
        <w:t xml:space="preserve">Catalogue </w:t>
      </w:r>
      <w:proofErr w:type="spellStart"/>
      <w:r w:rsidRPr="00C726FB">
        <w:rPr>
          <w:lang w:val="fr-BE"/>
        </w:rPr>
        <w:t>download</w:t>
      </w:r>
      <w:proofErr w:type="spellEnd"/>
      <w:r w:rsidRPr="00C726FB">
        <w:rPr>
          <w:lang w:val="fr-BE"/>
        </w:rPr>
        <w:t xml:space="preserve"> :  </w:t>
      </w:r>
      <w:hyperlink r:id="rId12" w:history="1">
        <w:r w:rsidRPr="00C726FB">
          <w:rPr>
            <w:rStyle w:val="Hyperlink"/>
            <w:lang w:val="fr-BE"/>
          </w:rPr>
          <w:t>http://www.daikin.com/csr/information/influence/daikin_policy-en.pdf</w:t>
        </w:r>
      </w:hyperlink>
    </w:p>
    <w:p w14:paraId="7CFF4E2A" w14:textId="0FBEF276" w:rsidR="004A0654" w:rsidRPr="00C726FB" w:rsidRDefault="004A0654" w:rsidP="004A0654">
      <w:pPr>
        <w:pStyle w:val="ListParagraph"/>
        <w:rPr>
          <w:lang w:val="nl-BE"/>
        </w:rPr>
      </w:pPr>
      <w:r w:rsidRPr="00C726FB">
        <w:rPr>
          <w:lang w:val="nl-BE"/>
        </w:rPr>
        <w:t xml:space="preserve">Website :  </w:t>
      </w:r>
      <w:hyperlink r:id="rId13" w:history="1">
        <w:r w:rsidRPr="00C726FB">
          <w:rPr>
            <w:rStyle w:val="Hyperlink"/>
            <w:lang w:val="nl-BE"/>
          </w:rPr>
          <w:t>http://www.daikin.com/csr/information/influence/index.html</w:t>
        </w:r>
      </w:hyperlink>
    </w:p>
    <w:p w14:paraId="173CA4D9" w14:textId="278D5D98" w:rsidR="008A772E" w:rsidRDefault="004A0654" w:rsidP="004A0654">
      <w:pPr>
        <w:pStyle w:val="ListParagraph"/>
        <w:numPr>
          <w:ilvl w:val="0"/>
          <w:numId w:val="27"/>
        </w:numPr>
      </w:pPr>
      <w:r>
        <w:t>EEA report N°20/2017 Data reported by companies on the production, import, export and destruction of fluorinated greenhouse gases in the European Union, 2007-2016.  https://www.eea.europa.eu/publications/fluorinated-greenhouse-gases-2017</w:t>
      </w:r>
      <w:r w:rsidR="008A772E">
        <w:br w:type="page"/>
      </w:r>
    </w:p>
    <w:p w14:paraId="0C8CD348" w14:textId="77777777" w:rsidR="00914B28" w:rsidRPr="008A772E" w:rsidRDefault="00D55C54" w:rsidP="008A772E">
      <w:pPr>
        <w:pStyle w:val="Introduction"/>
        <w:rPr>
          <w:bCs w:val="0"/>
        </w:rPr>
      </w:pPr>
      <w:r w:rsidRPr="008A772E">
        <w:lastRenderedPageBreak/>
        <w:t>ED</w:t>
      </w:r>
      <w:r>
        <w:t>ITOR NOTES</w:t>
      </w:r>
    </w:p>
    <w:p w14:paraId="11921859" w14:textId="77777777" w:rsidR="00914B28" w:rsidRPr="006A5B5D" w:rsidRDefault="00914B28" w:rsidP="006A5B5D">
      <w:pPr>
        <w:pStyle w:val="Subheading"/>
      </w:pPr>
      <w:r w:rsidRPr="006A5B5D">
        <w:t>About Daikin Europe N.V.</w:t>
      </w:r>
    </w:p>
    <w:p w14:paraId="2CBCC1BC" w14:textId="77777777" w:rsidR="00914B28" w:rsidRDefault="00914B28" w:rsidP="006A5B5D">
      <w:pPr>
        <w:pStyle w:val="BodyCopy"/>
      </w:pPr>
      <w:r>
        <w:t>Daikin Europe N.V. is a major European producer of air conditioners, heat pumps and refrigeration equipment, with approximately 5,500 employees throughout Europe and 10 major manufacturing facilities based in Belgium, the Czech Republic, Germany, Italy, Turkey and the UK.</w:t>
      </w:r>
    </w:p>
    <w:p w14:paraId="60611400" w14:textId="77777777" w:rsidR="00914B28" w:rsidRDefault="00914B28" w:rsidP="006A5B5D">
      <w:pPr>
        <w:pStyle w:val="BodyCopy"/>
      </w:pPr>
      <w:r>
        <w:t xml:space="preserve">Globally, Daikin is renowned for its pioneering approach to product development and the unrivalled quality and versatility of its integrated solutions. With </w:t>
      </w:r>
      <w:r w:rsidRPr="006A5B5D">
        <w:t>more than 90 years’</w:t>
      </w:r>
      <w:r w:rsidRPr="00914B28">
        <w:rPr>
          <w:color w:val="0083C1" w:themeColor="background1"/>
        </w:rPr>
        <w:t xml:space="preserve"> </w:t>
      </w:r>
      <w:r>
        <w:t>experience in the design and manufacture of heating and cooling technologies, Daikin is a market leader in heat pump technology. Daikin VRV and Daikin Altherma are the most sold heat pump systems in Europe, with over 500,000 systems delivered to date.</w:t>
      </w:r>
    </w:p>
    <w:p w14:paraId="07492184" w14:textId="77777777" w:rsidR="006A5B5D" w:rsidRDefault="006A5B5D" w:rsidP="00137D26"/>
    <w:p w14:paraId="1B976C71" w14:textId="77777777" w:rsidR="006A5B5D" w:rsidRDefault="00D55C54" w:rsidP="00137D26">
      <w:r>
        <w:t>……………………………………………………………………………………………………………………………………………………….</w:t>
      </w:r>
    </w:p>
    <w:p w14:paraId="1B27FA54" w14:textId="77777777" w:rsidR="00D55C54" w:rsidRPr="008A772E" w:rsidRDefault="00D55C54" w:rsidP="00D55C54">
      <w:pPr>
        <w:pStyle w:val="Introduction"/>
        <w:rPr>
          <w:bCs w:val="0"/>
        </w:rPr>
      </w:pPr>
      <w:r>
        <w:t>FURTHER INFORMATION</w:t>
      </w:r>
    </w:p>
    <w:p w14:paraId="67BB22BC" w14:textId="77777777" w:rsidR="00D55C54" w:rsidRPr="006A5B5D" w:rsidRDefault="00D55C54" w:rsidP="00D55C54">
      <w:pPr>
        <w:pStyle w:val="Subheading"/>
      </w:pPr>
      <w:r>
        <w:t>Contacts</w:t>
      </w:r>
    </w:p>
    <w:p w14:paraId="46BAECBC" w14:textId="6705ED15" w:rsidR="00D55C54" w:rsidRDefault="0070066D" w:rsidP="00D55C54">
      <w:pPr>
        <w:pStyle w:val="BodyCopy"/>
      </w:pPr>
      <w:r w:rsidRPr="0004771C">
        <w:t xml:space="preserve">Anju Sarpal: +44 7980 785572   </w:t>
      </w:r>
      <w:hyperlink r:id="rId14" w:history="1">
        <w:r w:rsidRPr="00B84498">
          <w:rPr>
            <w:rStyle w:val="Hyperlink"/>
          </w:rPr>
          <w:t>Daikin-News@sheremarketing.co.uk</w:t>
        </w:r>
      </w:hyperlink>
    </w:p>
    <w:p w14:paraId="0C18B1F4" w14:textId="77777777" w:rsidR="00914B28" w:rsidRPr="00914B28" w:rsidRDefault="00914B28" w:rsidP="00D55C54"/>
    <w:sectPr w:rsidR="00914B28" w:rsidRPr="00914B28" w:rsidSect="00391849">
      <w:headerReference w:type="default" r:id="rId15"/>
      <w:footerReference w:type="default" r:id="rId16"/>
      <w:pgSz w:w="11907" w:h="16839" w:code="9"/>
      <w:pgMar w:top="1440" w:right="1440" w:bottom="1440" w:left="1440" w:header="964" w:footer="34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DCA8B3" w14:textId="77777777" w:rsidR="008B0394" w:rsidRDefault="008B0394" w:rsidP="00137D26">
      <w:r>
        <w:separator/>
      </w:r>
    </w:p>
  </w:endnote>
  <w:endnote w:type="continuationSeparator" w:id="0">
    <w:p w14:paraId="7684BB8E" w14:textId="77777777" w:rsidR="008B0394" w:rsidRDefault="008B0394" w:rsidP="00137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8E5648" w14:textId="77777777" w:rsidR="00137D26" w:rsidRDefault="00137D26" w:rsidP="00137D26">
    <w:pPr>
      <w:pStyle w:val="Footer"/>
    </w:pPr>
  </w:p>
  <w:p w14:paraId="0190CDB2" w14:textId="77777777" w:rsidR="00137D26" w:rsidRDefault="00137D26" w:rsidP="00137D26">
    <w:pPr>
      <w:pStyle w:val="Footer"/>
    </w:pPr>
    <w:r>
      <w:rPr>
        <w:noProof/>
        <w:lang w:val="en-GB"/>
      </w:rPr>
      <w:drawing>
        <wp:anchor distT="0" distB="0" distL="114300" distR="114300" simplePos="0" relativeHeight="251658240" behindDoc="1" locked="0" layoutInCell="1" allowOverlap="1" wp14:anchorId="2A98C81B" wp14:editId="424173DF">
          <wp:simplePos x="0" y="0"/>
          <wp:positionH relativeFrom="column">
            <wp:posOffset>-347980</wp:posOffset>
          </wp:positionH>
          <wp:positionV relativeFrom="paragraph">
            <wp:posOffset>198755</wp:posOffset>
          </wp:positionV>
          <wp:extent cx="7562850" cy="1347188"/>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_footer-city-small_no-site.jpg"/>
                  <pic:cNvPicPr/>
                </pic:nvPicPr>
                <pic:blipFill>
                  <a:blip r:embed="rId1">
                    <a:extLst>
                      <a:ext uri="{28A0092B-C50C-407E-A947-70E740481C1C}">
                        <a14:useLocalDpi xmlns:a14="http://schemas.microsoft.com/office/drawing/2010/main" val="0"/>
                      </a:ext>
                    </a:extLst>
                  </a:blip>
                  <a:stretch>
                    <a:fillRect/>
                  </a:stretch>
                </pic:blipFill>
                <pic:spPr>
                  <a:xfrm>
                    <a:off x="0" y="0"/>
                    <a:ext cx="7562850" cy="1347188"/>
                  </a:xfrm>
                  <a:prstGeom prst="rect">
                    <a:avLst/>
                  </a:prstGeom>
                </pic:spPr>
              </pic:pic>
            </a:graphicData>
          </a:graphic>
        </wp:anchor>
      </w:drawing>
    </w:r>
  </w:p>
  <w:p w14:paraId="2B2FC85C" w14:textId="77777777" w:rsidR="00137D26" w:rsidRDefault="00137D26" w:rsidP="00137D26">
    <w:pPr>
      <w:pStyle w:val="Footer"/>
    </w:pPr>
  </w:p>
  <w:p w14:paraId="632628B8" w14:textId="77777777" w:rsidR="00137D26" w:rsidRDefault="00137D26" w:rsidP="00137D26">
    <w:pPr>
      <w:pStyle w:val="Footer"/>
    </w:pPr>
  </w:p>
  <w:p w14:paraId="49F50222" w14:textId="77777777" w:rsidR="005250A2" w:rsidRDefault="005250A2" w:rsidP="00137D26">
    <w:pPr>
      <w:pStyle w:val="Footer"/>
    </w:pPr>
  </w:p>
  <w:sdt>
    <w:sdtPr>
      <w:id w:val="-1705238520"/>
      <w:docPartObj>
        <w:docPartGallery w:val="Page Numbers (Top of Page)"/>
        <w:docPartUnique/>
      </w:docPartObj>
    </w:sdtPr>
    <w:sdtEndPr/>
    <w:sdtContent>
      <w:p w14:paraId="575FA812" w14:textId="77777777" w:rsidR="00137D26" w:rsidRDefault="00137D26" w:rsidP="00137D26">
        <w:pPr>
          <w:pStyle w:val="Footer"/>
          <w:jc w:val="right"/>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807023">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07023">
          <w:rPr>
            <w:b/>
            <w:bCs/>
            <w:noProof/>
          </w:rPr>
          <w:t>5</w:t>
        </w:r>
        <w:r>
          <w:rPr>
            <w:b/>
            <w:bCs/>
            <w:sz w:val="24"/>
            <w:szCs w:val="24"/>
          </w:rPr>
          <w:fldChar w:fldCharType="end"/>
        </w:r>
      </w:p>
      <w:p w14:paraId="0BBF8C97" w14:textId="77777777" w:rsidR="00137D26" w:rsidRDefault="00137D26" w:rsidP="00137D26">
        <w:pPr>
          <w:pStyle w:val="Footer"/>
          <w:jc w:val="right"/>
          <w:rPr>
            <w:b/>
            <w:bCs/>
            <w:sz w:val="24"/>
            <w:szCs w:val="24"/>
          </w:rPr>
        </w:pPr>
      </w:p>
      <w:p w14:paraId="4E812C5C" w14:textId="77777777" w:rsidR="00137D26" w:rsidRDefault="00807023" w:rsidP="00137D26">
        <w:pPr>
          <w:pStyle w:val="Footer"/>
          <w:jc w:val="right"/>
        </w:pPr>
      </w:p>
    </w:sdtContent>
  </w:sdt>
  <w:p w14:paraId="4C8FA568" w14:textId="77777777" w:rsidR="005250A2" w:rsidRDefault="005250A2" w:rsidP="00137D2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C9325D" w14:textId="77777777" w:rsidR="008B0394" w:rsidRDefault="008B0394" w:rsidP="00137D26">
      <w:r>
        <w:separator/>
      </w:r>
    </w:p>
  </w:footnote>
  <w:footnote w:type="continuationSeparator" w:id="0">
    <w:p w14:paraId="7E155CAF" w14:textId="77777777" w:rsidR="008B0394" w:rsidRDefault="008B0394" w:rsidP="00137D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1509E2" w14:textId="77777777" w:rsidR="00391849" w:rsidRDefault="00391849" w:rsidP="00391849">
    <w:pPr>
      <w:jc w:val="right"/>
      <w:rPr>
        <w:rStyle w:val="Hyperlink"/>
        <w:rFonts w:ascii="Arial" w:hAnsi="Arial" w:cs="Arial"/>
        <w:b/>
        <w:color w:val="0083C1" w:themeColor="background1"/>
      </w:rPr>
    </w:pPr>
    <w:r w:rsidRPr="00D54049">
      <w:rPr>
        <w:noProof/>
        <w:lang w:val="en-GB"/>
      </w:rPr>
      <w:drawing>
        <wp:anchor distT="0" distB="0" distL="114300" distR="114300" simplePos="0" relativeHeight="251657216" behindDoc="0" locked="0" layoutInCell="1" allowOverlap="1" wp14:anchorId="0012608A" wp14:editId="5C0E45CE">
          <wp:simplePos x="0" y="0"/>
          <wp:positionH relativeFrom="column">
            <wp:posOffset>12700</wp:posOffset>
          </wp:positionH>
          <wp:positionV relativeFrom="paragraph">
            <wp:posOffset>635</wp:posOffset>
          </wp:positionV>
          <wp:extent cx="1524000" cy="323850"/>
          <wp:effectExtent l="0" t="0" r="0" b="0"/>
          <wp:wrapNone/>
          <wp:docPr id="6" name="Picture 6" descr="logo_for_word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or_word_"/>
                  <pic:cNvPicPr>
                    <a:picLocks noChangeAspect="1" noChangeArrowheads="1"/>
                  </pic:cNvPicPr>
                </pic:nvPicPr>
                <pic:blipFill rotWithShape="1">
                  <a:blip r:embed="rId1">
                    <a:extLst>
                      <a:ext uri="{28A0092B-C50C-407E-A947-70E740481C1C}">
                        <a14:useLocalDpi xmlns:a14="http://schemas.microsoft.com/office/drawing/2010/main" val="0"/>
                      </a:ext>
                    </a:extLst>
                  </a:blip>
                  <a:srcRect b="24444"/>
                  <a:stretch/>
                </pic:blipFill>
                <pic:spPr bwMode="auto">
                  <a:xfrm>
                    <a:off x="0" y="0"/>
                    <a:ext cx="1524000" cy="323850"/>
                  </a:xfrm>
                  <a:prstGeom prst="rect">
                    <a:avLst/>
                  </a:prstGeom>
                  <a:noFill/>
                  <a:ln>
                    <a:noFill/>
                  </a:ln>
                  <a:extLst>
                    <a:ext uri="{53640926-AAD7-44D8-BBD7-CCE9431645EC}">
                      <a14:shadowObscured xmlns:a14="http://schemas.microsoft.com/office/drawing/2010/main"/>
                    </a:ext>
                  </a:extLst>
                </pic:spPr>
              </pic:pic>
            </a:graphicData>
          </a:graphic>
        </wp:anchor>
      </w:drawing>
    </w:r>
    <w:hyperlink r:id="rId2" w:history="1">
      <w:r w:rsidRPr="00914B28">
        <w:rPr>
          <w:rStyle w:val="Hyperlink"/>
          <w:rFonts w:ascii="Arial" w:hAnsi="Arial" w:cs="Arial"/>
          <w:b/>
          <w:color w:val="0083C1" w:themeColor="background1"/>
        </w:rPr>
        <w:t>www.daikin.eu</w:t>
      </w:r>
    </w:hyperlink>
  </w:p>
  <w:p w14:paraId="3428EBEF" w14:textId="77777777" w:rsidR="00692B98" w:rsidRDefault="00692B98" w:rsidP="00391849">
    <w:pPr>
      <w:jc w:val="right"/>
      <w:rPr>
        <w:rStyle w:val="Hyperlink"/>
        <w:rFonts w:ascii="Arial" w:hAnsi="Arial" w:cs="Arial"/>
        <w:b/>
        <w:color w:val="0083C1" w:themeColor="background1"/>
      </w:rPr>
    </w:pPr>
  </w:p>
  <w:p w14:paraId="20EFF895" w14:textId="77777777" w:rsidR="00692B98" w:rsidRPr="00914B28" w:rsidRDefault="00692B98" w:rsidP="00391849">
    <w:pPr>
      <w:jc w:val="right"/>
      <w:rPr>
        <w:rFonts w:ascii="Arial" w:hAnsi="Arial" w:cs="Arial"/>
        <w:b/>
        <w:color w:val="0083C1" w:themeColor="background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AA3E5A"/>
    <w:multiLevelType w:val="hybridMultilevel"/>
    <w:tmpl w:val="56CEB5C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C062686"/>
    <w:multiLevelType w:val="hybridMultilevel"/>
    <w:tmpl w:val="5066B21A"/>
    <w:lvl w:ilvl="0" w:tplc="5254CC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3740448"/>
    <w:multiLevelType w:val="hybridMultilevel"/>
    <w:tmpl w:val="E8B4BD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38A7A8A"/>
    <w:multiLevelType w:val="hybridMultilevel"/>
    <w:tmpl w:val="8F44C0E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66F048E9"/>
    <w:multiLevelType w:val="hybridMultilevel"/>
    <w:tmpl w:val="9FCE2F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7A5A32EC"/>
    <w:multiLevelType w:val="multilevel"/>
    <w:tmpl w:val="0C2410C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7EB664F2"/>
    <w:multiLevelType w:val="hybridMultilevel"/>
    <w:tmpl w:val="EF16E7C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6"/>
  </w:num>
  <w:num w:numId="3">
    <w:abstractNumId w:val="1"/>
  </w:num>
  <w:num w:numId="4">
    <w:abstractNumId w:val="7"/>
  </w:num>
  <w:num w:numId="5">
    <w:abstractNumId w:val="8"/>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7"/>
  </w:num>
  <w:num w:numId="15">
    <w:abstractNumId w:val="7"/>
  </w:num>
  <w:num w:numId="16">
    <w:abstractNumId w:val="7"/>
  </w:num>
  <w:num w:numId="17">
    <w:abstractNumId w:val="7"/>
  </w:num>
  <w:num w:numId="18">
    <w:abstractNumId w:val="7"/>
  </w:num>
  <w:num w:numId="19">
    <w:abstractNumId w:val="7"/>
  </w:num>
  <w:num w:numId="20">
    <w:abstractNumId w:val="7"/>
  </w:num>
  <w:num w:numId="21">
    <w:abstractNumId w:val="7"/>
  </w:num>
  <w:num w:numId="22">
    <w:abstractNumId w:val="7"/>
  </w:num>
  <w:num w:numId="23">
    <w:abstractNumId w:val="7"/>
  </w:num>
  <w:num w:numId="24">
    <w:abstractNumId w:val="2"/>
  </w:num>
  <w:num w:numId="25">
    <w:abstractNumId w:val="5"/>
  </w:num>
  <w:num w:numId="26">
    <w:abstractNumId w:val="4"/>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648"/>
    <w:rsid w:val="00012A26"/>
    <w:rsid w:val="0002576A"/>
    <w:rsid w:val="0002718E"/>
    <w:rsid w:val="00032BAB"/>
    <w:rsid w:val="00034675"/>
    <w:rsid w:val="0005346B"/>
    <w:rsid w:val="000551D5"/>
    <w:rsid w:val="00055966"/>
    <w:rsid w:val="00063F4C"/>
    <w:rsid w:val="00077AD3"/>
    <w:rsid w:val="000A7D2F"/>
    <w:rsid w:val="000B6BD3"/>
    <w:rsid w:val="000C11B9"/>
    <w:rsid w:val="000C5AEB"/>
    <w:rsid w:val="000C65B2"/>
    <w:rsid w:val="000D1C07"/>
    <w:rsid w:val="000F6F8D"/>
    <w:rsid w:val="001052F1"/>
    <w:rsid w:val="00111112"/>
    <w:rsid w:val="00111767"/>
    <w:rsid w:val="00126D35"/>
    <w:rsid w:val="001374D4"/>
    <w:rsid w:val="00137D26"/>
    <w:rsid w:val="00146C07"/>
    <w:rsid w:val="00150B88"/>
    <w:rsid w:val="00175EAB"/>
    <w:rsid w:val="001855AF"/>
    <w:rsid w:val="00185D2A"/>
    <w:rsid w:val="001932D1"/>
    <w:rsid w:val="001B072A"/>
    <w:rsid w:val="001C36CE"/>
    <w:rsid w:val="001C50CA"/>
    <w:rsid w:val="001E09ED"/>
    <w:rsid w:val="001F1648"/>
    <w:rsid w:val="00203538"/>
    <w:rsid w:val="00216755"/>
    <w:rsid w:val="00257D4E"/>
    <w:rsid w:val="0026092F"/>
    <w:rsid w:val="00276E2E"/>
    <w:rsid w:val="00290B0C"/>
    <w:rsid w:val="002A1789"/>
    <w:rsid w:val="002A2BE5"/>
    <w:rsid w:val="002C5851"/>
    <w:rsid w:val="002C788C"/>
    <w:rsid w:val="002E1371"/>
    <w:rsid w:val="002E68F4"/>
    <w:rsid w:val="0030354B"/>
    <w:rsid w:val="003066D0"/>
    <w:rsid w:val="00327B35"/>
    <w:rsid w:val="00330ABB"/>
    <w:rsid w:val="00331E9E"/>
    <w:rsid w:val="00332661"/>
    <w:rsid w:val="00333EA4"/>
    <w:rsid w:val="00345EDE"/>
    <w:rsid w:val="0035632C"/>
    <w:rsid w:val="0035723A"/>
    <w:rsid w:val="00363414"/>
    <w:rsid w:val="00375FEF"/>
    <w:rsid w:val="00384EB9"/>
    <w:rsid w:val="00391849"/>
    <w:rsid w:val="003951F0"/>
    <w:rsid w:val="0039650B"/>
    <w:rsid w:val="00396EAD"/>
    <w:rsid w:val="00397967"/>
    <w:rsid w:val="00397AF0"/>
    <w:rsid w:val="003A3CC5"/>
    <w:rsid w:val="003A3FBE"/>
    <w:rsid w:val="003B5634"/>
    <w:rsid w:val="003D699D"/>
    <w:rsid w:val="003D7295"/>
    <w:rsid w:val="003E1AE9"/>
    <w:rsid w:val="003F4901"/>
    <w:rsid w:val="00400866"/>
    <w:rsid w:val="00406228"/>
    <w:rsid w:val="004122B7"/>
    <w:rsid w:val="0041780C"/>
    <w:rsid w:val="004278DB"/>
    <w:rsid w:val="00436F6C"/>
    <w:rsid w:val="004408C0"/>
    <w:rsid w:val="00452601"/>
    <w:rsid w:val="004669A3"/>
    <w:rsid w:val="00471687"/>
    <w:rsid w:val="00475D0E"/>
    <w:rsid w:val="00475EC3"/>
    <w:rsid w:val="00491B3B"/>
    <w:rsid w:val="004A0654"/>
    <w:rsid w:val="004A7AA8"/>
    <w:rsid w:val="004C2489"/>
    <w:rsid w:val="004C4C87"/>
    <w:rsid w:val="004D47A7"/>
    <w:rsid w:val="004D723E"/>
    <w:rsid w:val="004E66FE"/>
    <w:rsid w:val="004F2588"/>
    <w:rsid w:val="004F5BF7"/>
    <w:rsid w:val="00522446"/>
    <w:rsid w:val="005250A2"/>
    <w:rsid w:val="00531EBF"/>
    <w:rsid w:val="005343EB"/>
    <w:rsid w:val="0054553C"/>
    <w:rsid w:val="00560070"/>
    <w:rsid w:val="00563CA8"/>
    <w:rsid w:val="0058361C"/>
    <w:rsid w:val="005856CC"/>
    <w:rsid w:val="00591880"/>
    <w:rsid w:val="005B2ACB"/>
    <w:rsid w:val="005B4729"/>
    <w:rsid w:val="005B48B9"/>
    <w:rsid w:val="005B7930"/>
    <w:rsid w:val="005C0BDA"/>
    <w:rsid w:val="005E2077"/>
    <w:rsid w:val="006009B6"/>
    <w:rsid w:val="00600F81"/>
    <w:rsid w:val="00606360"/>
    <w:rsid w:val="006423F2"/>
    <w:rsid w:val="00685F0D"/>
    <w:rsid w:val="00692B98"/>
    <w:rsid w:val="00693DC0"/>
    <w:rsid w:val="006A5B5D"/>
    <w:rsid w:val="006D533C"/>
    <w:rsid w:val="006E3B03"/>
    <w:rsid w:val="006E441D"/>
    <w:rsid w:val="006E5B79"/>
    <w:rsid w:val="006E7698"/>
    <w:rsid w:val="006F58A2"/>
    <w:rsid w:val="0070027B"/>
    <w:rsid w:val="007004E9"/>
    <w:rsid w:val="0070066D"/>
    <w:rsid w:val="0071291E"/>
    <w:rsid w:val="007145EE"/>
    <w:rsid w:val="0071740C"/>
    <w:rsid w:val="00723CB7"/>
    <w:rsid w:val="00743631"/>
    <w:rsid w:val="00781ADD"/>
    <w:rsid w:val="007908F9"/>
    <w:rsid w:val="00797F32"/>
    <w:rsid w:val="007A02F4"/>
    <w:rsid w:val="007A521D"/>
    <w:rsid w:val="007B2CDF"/>
    <w:rsid w:val="00801174"/>
    <w:rsid w:val="00805CEA"/>
    <w:rsid w:val="00807023"/>
    <w:rsid w:val="00835742"/>
    <w:rsid w:val="00835BEB"/>
    <w:rsid w:val="00844E38"/>
    <w:rsid w:val="00863405"/>
    <w:rsid w:val="00863D30"/>
    <w:rsid w:val="008760AB"/>
    <w:rsid w:val="00885DD1"/>
    <w:rsid w:val="008A772E"/>
    <w:rsid w:val="008B0394"/>
    <w:rsid w:val="008D1149"/>
    <w:rsid w:val="008D133B"/>
    <w:rsid w:val="008D3159"/>
    <w:rsid w:val="008E167D"/>
    <w:rsid w:val="008E507F"/>
    <w:rsid w:val="008E5E9E"/>
    <w:rsid w:val="009000D2"/>
    <w:rsid w:val="00914B28"/>
    <w:rsid w:val="0093552D"/>
    <w:rsid w:val="00941C57"/>
    <w:rsid w:val="009421C2"/>
    <w:rsid w:val="00943D25"/>
    <w:rsid w:val="00961EE8"/>
    <w:rsid w:val="00974C50"/>
    <w:rsid w:val="009919D7"/>
    <w:rsid w:val="009A4946"/>
    <w:rsid w:val="009B6529"/>
    <w:rsid w:val="009C1545"/>
    <w:rsid w:val="009D2FA7"/>
    <w:rsid w:val="009D73A6"/>
    <w:rsid w:val="009E70E1"/>
    <w:rsid w:val="009F2DD4"/>
    <w:rsid w:val="009F33E3"/>
    <w:rsid w:val="00A02DDE"/>
    <w:rsid w:val="00A03C09"/>
    <w:rsid w:val="00A106A4"/>
    <w:rsid w:val="00A13EB4"/>
    <w:rsid w:val="00A16263"/>
    <w:rsid w:val="00A20EEE"/>
    <w:rsid w:val="00A24903"/>
    <w:rsid w:val="00A30686"/>
    <w:rsid w:val="00A32689"/>
    <w:rsid w:val="00A37792"/>
    <w:rsid w:val="00A419DD"/>
    <w:rsid w:val="00A426B3"/>
    <w:rsid w:val="00A47D78"/>
    <w:rsid w:val="00A519B3"/>
    <w:rsid w:val="00A52469"/>
    <w:rsid w:val="00A57EBF"/>
    <w:rsid w:val="00A60E1B"/>
    <w:rsid w:val="00A6482A"/>
    <w:rsid w:val="00A71560"/>
    <w:rsid w:val="00A741EE"/>
    <w:rsid w:val="00A7577D"/>
    <w:rsid w:val="00A83206"/>
    <w:rsid w:val="00A83789"/>
    <w:rsid w:val="00A95235"/>
    <w:rsid w:val="00A97A7F"/>
    <w:rsid w:val="00AB245B"/>
    <w:rsid w:val="00AB362D"/>
    <w:rsid w:val="00AB4F85"/>
    <w:rsid w:val="00AE1BC5"/>
    <w:rsid w:val="00AE2181"/>
    <w:rsid w:val="00B26DE8"/>
    <w:rsid w:val="00B32476"/>
    <w:rsid w:val="00B40F0F"/>
    <w:rsid w:val="00B438FA"/>
    <w:rsid w:val="00B63095"/>
    <w:rsid w:val="00B67BB8"/>
    <w:rsid w:val="00B73A9E"/>
    <w:rsid w:val="00B816F4"/>
    <w:rsid w:val="00B870EC"/>
    <w:rsid w:val="00BA5F89"/>
    <w:rsid w:val="00BB6D28"/>
    <w:rsid w:val="00BC73C3"/>
    <w:rsid w:val="00BD0496"/>
    <w:rsid w:val="00BD2756"/>
    <w:rsid w:val="00BD4CA4"/>
    <w:rsid w:val="00BF5203"/>
    <w:rsid w:val="00C04673"/>
    <w:rsid w:val="00C12068"/>
    <w:rsid w:val="00C50180"/>
    <w:rsid w:val="00C528E2"/>
    <w:rsid w:val="00C55412"/>
    <w:rsid w:val="00C65B32"/>
    <w:rsid w:val="00C7000C"/>
    <w:rsid w:val="00C726FB"/>
    <w:rsid w:val="00C7423D"/>
    <w:rsid w:val="00C86436"/>
    <w:rsid w:val="00CA6010"/>
    <w:rsid w:val="00CA6FDF"/>
    <w:rsid w:val="00CA7B53"/>
    <w:rsid w:val="00CC7C05"/>
    <w:rsid w:val="00D03CC8"/>
    <w:rsid w:val="00D07426"/>
    <w:rsid w:val="00D172CA"/>
    <w:rsid w:val="00D52294"/>
    <w:rsid w:val="00D54049"/>
    <w:rsid w:val="00D55C54"/>
    <w:rsid w:val="00D644BD"/>
    <w:rsid w:val="00D706CB"/>
    <w:rsid w:val="00D71A11"/>
    <w:rsid w:val="00D72766"/>
    <w:rsid w:val="00D96F31"/>
    <w:rsid w:val="00DA120C"/>
    <w:rsid w:val="00DA7016"/>
    <w:rsid w:val="00DB3FBB"/>
    <w:rsid w:val="00DC3A21"/>
    <w:rsid w:val="00DC5C45"/>
    <w:rsid w:val="00DD404C"/>
    <w:rsid w:val="00DD58E3"/>
    <w:rsid w:val="00E2594B"/>
    <w:rsid w:val="00E2746A"/>
    <w:rsid w:val="00E3286B"/>
    <w:rsid w:val="00E33D84"/>
    <w:rsid w:val="00E3651D"/>
    <w:rsid w:val="00E431DA"/>
    <w:rsid w:val="00E5511B"/>
    <w:rsid w:val="00E55D29"/>
    <w:rsid w:val="00E56013"/>
    <w:rsid w:val="00E64D6C"/>
    <w:rsid w:val="00E827D8"/>
    <w:rsid w:val="00E82A4F"/>
    <w:rsid w:val="00EA3DE7"/>
    <w:rsid w:val="00EC24A8"/>
    <w:rsid w:val="00EC32A0"/>
    <w:rsid w:val="00EC5E91"/>
    <w:rsid w:val="00ED6EC1"/>
    <w:rsid w:val="00EF6242"/>
    <w:rsid w:val="00EF7301"/>
    <w:rsid w:val="00F04E2A"/>
    <w:rsid w:val="00F15B86"/>
    <w:rsid w:val="00F21317"/>
    <w:rsid w:val="00F23523"/>
    <w:rsid w:val="00F278A7"/>
    <w:rsid w:val="00F371AA"/>
    <w:rsid w:val="00F443BC"/>
    <w:rsid w:val="00F45A6E"/>
    <w:rsid w:val="00F45F40"/>
    <w:rsid w:val="00F629F1"/>
    <w:rsid w:val="00F70127"/>
    <w:rsid w:val="00F752C7"/>
    <w:rsid w:val="00F87415"/>
    <w:rsid w:val="00F95727"/>
    <w:rsid w:val="00FA2CBB"/>
    <w:rsid w:val="00FB1E2E"/>
    <w:rsid w:val="00FB7F9C"/>
    <w:rsid w:val="00FC3E62"/>
    <w:rsid w:val="00FE34B2"/>
    <w:rsid w:val="00FE51B9"/>
    <w:rsid w:val="00FF551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F1C0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6529"/>
    <w:rPr>
      <w:lang w:eastAsia="ja-JP"/>
    </w:rPr>
  </w:style>
  <w:style w:type="paragraph" w:styleId="Heading1">
    <w:name w:val="heading 1"/>
    <w:basedOn w:val="Normal"/>
    <w:next w:val="Normal"/>
    <w:link w:val="Heading1Char"/>
    <w:autoRedefine/>
    <w:rsid w:val="006A5B5D"/>
    <w:pPr>
      <w:keepNext/>
      <w:spacing w:before="240" w:after="240" w:line="240" w:lineRule="auto"/>
      <w:outlineLvl w:val="0"/>
    </w:pPr>
    <w:rPr>
      <w:rFonts w:eastAsia="MS Mincho" w:cs="Times New Roman"/>
      <w:iCs/>
      <w:color w:val="0083C1" w:themeColor="background1"/>
      <w:kern w:val="32"/>
      <w:sz w:val="36"/>
      <w:szCs w:val="28"/>
      <w:lang w:val="en-GB"/>
    </w:rPr>
  </w:style>
  <w:style w:type="paragraph" w:styleId="Heading2">
    <w:name w:val="heading 2"/>
    <w:basedOn w:val="Normal"/>
    <w:next w:val="Normal"/>
    <w:link w:val="Heading2Char"/>
    <w:rsid w:val="00391849"/>
    <w:pPr>
      <w:keepNext/>
      <w:spacing w:before="240" w:after="60"/>
      <w:outlineLvl w:val="1"/>
    </w:pPr>
    <w:rPr>
      <w:rFonts w:eastAsia="MS Mincho" w:cs="Times New Roman"/>
      <w:bCs/>
      <w:iCs/>
      <w:color w:val="5F5F5F" w:themeColor="background2"/>
      <w:sz w:val="28"/>
      <w:szCs w:val="28"/>
      <w:lang w:val="en-GB"/>
    </w:rPr>
  </w:style>
  <w:style w:type="paragraph" w:styleId="Heading3">
    <w:name w:val="heading 3"/>
    <w:basedOn w:val="Normal"/>
    <w:next w:val="Normal"/>
    <w:link w:val="Heading3Char"/>
    <w:rsid w:val="00801174"/>
    <w:pPr>
      <w:keepNext/>
      <w:numPr>
        <w:ilvl w:val="2"/>
        <w:numId w:val="23"/>
      </w:numPr>
      <w:spacing w:before="240" w:after="60" w:line="240" w:lineRule="auto"/>
      <w:outlineLvl w:val="2"/>
    </w:pPr>
    <w:rPr>
      <w:rFonts w:eastAsia="MS Mincho" w:cs="Times New Roman"/>
      <w:bCs/>
      <w:color w:val="5F5F5F" w:themeColor="background2"/>
      <w:sz w:val="32"/>
      <w:szCs w:val="26"/>
      <w:lang w:val="en-GB"/>
    </w:rPr>
  </w:style>
  <w:style w:type="paragraph" w:styleId="Heading4">
    <w:name w:val="heading 4"/>
    <w:basedOn w:val="Normal"/>
    <w:next w:val="Normal"/>
    <w:link w:val="Heading4Char"/>
    <w:qFormat/>
    <w:rsid w:val="00137D26"/>
    <w:pPr>
      <w:keepNext/>
      <w:spacing w:before="240" w:after="60" w:line="240" w:lineRule="auto"/>
      <w:outlineLvl w:val="3"/>
    </w:pPr>
    <w:rPr>
      <w:rFonts w:eastAsia="MS Mincho" w:cs="Times New Roman"/>
      <w:bCs/>
      <w:color w:val="0083C1" w:themeColor="background1"/>
      <w:sz w:val="36"/>
      <w:szCs w:val="36"/>
      <w:lang w:val="en-GB"/>
    </w:rPr>
  </w:style>
  <w:style w:type="paragraph" w:styleId="Heading5">
    <w:name w:val="heading 5"/>
    <w:basedOn w:val="Normal"/>
    <w:next w:val="Normal"/>
    <w:link w:val="Heading5Char"/>
    <w:qFormat/>
    <w:rsid w:val="00801174"/>
    <w:pPr>
      <w:numPr>
        <w:ilvl w:val="4"/>
        <w:numId w:val="23"/>
      </w:numPr>
      <w:spacing w:before="240" w:after="60" w:line="240" w:lineRule="auto"/>
      <w:outlineLvl w:val="4"/>
    </w:pPr>
    <w:rPr>
      <w:rFonts w:ascii="Arial" w:eastAsia="MS Mincho" w:hAnsi="Arial" w:cs="Times New Roman"/>
      <w:b/>
      <w:bCs/>
      <w:i/>
      <w:iCs/>
      <w:sz w:val="26"/>
      <w:szCs w:val="26"/>
      <w:lang w:val="en-GB"/>
    </w:rPr>
  </w:style>
  <w:style w:type="paragraph" w:styleId="Heading6">
    <w:name w:val="heading 6"/>
    <w:basedOn w:val="Normal"/>
    <w:next w:val="Normal"/>
    <w:link w:val="Heading6Char"/>
    <w:qFormat/>
    <w:rsid w:val="00801174"/>
    <w:pPr>
      <w:numPr>
        <w:ilvl w:val="5"/>
        <w:numId w:val="23"/>
      </w:numPr>
      <w:spacing w:before="240" w:after="60" w:line="240" w:lineRule="auto"/>
      <w:outlineLvl w:val="5"/>
    </w:pPr>
    <w:rPr>
      <w:rFonts w:ascii="Arial" w:eastAsia="MS Mincho" w:hAnsi="Arial" w:cs="Times New Roman"/>
      <w:b/>
      <w:bCs/>
      <w:lang w:val="en-GB"/>
    </w:rPr>
  </w:style>
  <w:style w:type="paragraph" w:styleId="Heading7">
    <w:name w:val="heading 7"/>
    <w:basedOn w:val="Normal"/>
    <w:next w:val="Normal"/>
    <w:link w:val="Heading7Char"/>
    <w:qFormat/>
    <w:rsid w:val="00801174"/>
    <w:pPr>
      <w:numPr>
        <w:ilvl w:val="6"/>
        <w:numId w:val="23"/>
      </w:numPr>
      <w:spacing w:before="240" w:after="60" w:line="240" w:lineRule="auto"/>
      <w:outlineLvl w:val="6"/>
    </w:pPr>
    <w:rPr>
      <w:rFonts w:ascii="Arial" w:eastAsia="MS Mincho" w:hAnsi="Arial" w:cs="Times New Roman"/>
      <w:sz w:val="20"/>
      <w:szCs w:val="24"/>
      <w:lang w:val="en-GB"/>
    </w:rPr>
  </w:style>
  <w:style w:type="paragraph" w:styleId="Heading8">
    <w:name w:val="heading 8"/>
    <w:basedOn w:val="Normal"/>
    <w:next w:val="Normal"/>
    <w:link w:val="Heading8Char"/>
    <w:qFormat/>
    <w:rsid w:val="00801174"/>
    <w:pPr>
      <w:numPr>
        <w:ilvl w:val="7"/>
        <w:numId w:val="23"/>
      </w:numPr>
      <w:spacing w:before="240" w:after="60" w:line="240" w:lineRule="auto"/>
      <w:outlineLvl w:val="7"/>
    </w:pPr>
    <w:rPr>
      <w:rFonts w:ascii="Arial" w:eastAsia="MS Mincho" w:hAnsi="Arial" w:cs="Times New Roman"/>
      <w:i/>
      <w:iCs/>
      <w:sz w:val="20"/>
      <w:szCs w:val="24"/>
      <w:lang w:val="en-GB"/>
    </w:rPr>
  </w:style>
  <w:style w:type="paragraph" w:styleId="Heading9">
    <w:name w:val="heading 9"/>
    <w:basedOn w:val="Normal"/>
    <w:next w:val="Normal"/>
    <w:link w:val="Heading9Char"/>
    <w:qFormat/>
    <w:rsid w:val="00801174"/>
    <w:pPr>
      <w:numPr>
        <w:ilvl w:val="8"/>
        <w:numId w:val="4"/>
      </w:numPr>
      <w:spacing w:before="240" w:after="60" w:line="240" w:lineRule="auto"/>
      <w:outlineLvl w:val="8"/>
    </w:pPr>
    <w:rPr>
      <w:rFonts w:ascii="Arial" w:eastAsia="MS Mincho" w:hAnsi="Arial"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174"/>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801174"/>
    <w:rPr>
      <w:rFonts w:ascii="Arial Black" w:hAnsi="Arial Black" w:hint="default"/>
      <w:i w:val="0"/>
      <w:iCs w:val="0"/>
      <w:sz w:val="18"/>
    </w:rPr>
  </w:style>
  <w:style w:type="character" w:customStyle="1" w:styleId="Heading1Char">
    <w:name w:val="Heading 1 Char"/>
    <w:basedOn w:val="DefaultParagraphFont"/>
    <w:link w:val="Heading1"/>
    <w:rsid w:val="006A5B5D"/>
    <w:rPr>
      <w:rFonts w:eastAsia="MS Mincho" w:cs="Times New Roman"/>
      <w:iCs/>
      <w:color w:val="0083C1" w:themeColor="background1"/>
      <w:kern w:val="32"/>
      <w:sz w:val="36"/>
      <w:szCs w:val="28"/>
      <w:lang w:val="en-GB" w:eastAsia="ja-JP"/>
    </w:rPr>
  </w:style>
  <w:style w:type="character" w:customStyle="1" w:styleId="Heading2Char">
    <w:name w:val="Heading 2 Char"/>
    <w:basedOn w:val="DefaultParagraphFont"/>
    <w:link w:val="Heading2"/>
    <w:rsid w:val="00391849"/>
    <w:rPr>
      <w:rFonts w:eastAsia="MS Mincho" w:cs="Times New Roman"/>
      <w:bCs/>
      <w:iCs/>
      <w:color w:val="5F5F5F" w:themeColor="background2"/>
      <w:sz w:val="28"/>
      <w:szCs w:val="28"/>
      <w:lang w:val="en-GB" w:eastAsia="ja-JP"/>
    </w:rPr>
  </w:style>
  <w:style w:type="character" w:customStyle="1" w:styleId="Heading3Char">
    <w:name w:val="Heading 3 Char"/>
    <w:basedOn w:val="DefaultParagraphFont"/>
    <w:link w:val="Heading3"/>
    <w:rsid w:val="00801174"/>
    <w:rPr>
      <w:rFonts w:eastAsia="MS Mincho" w:cs="Times New Roman"/>
      <w:bCs/>
      <w:color w:val="5F5F5F" w:themeColor="background2"/>
      <w:sz w:val="32"/>
      <w:szCs w:val="26"/>
      <w:lang w:val="en-GB"/>
    </w:rPr>
  </w:style>
  <w:style w:type="character" w:customStyle="1" w:styleId="Heading4Char">
    <w:name w:val="Heading 4 Char"/>
    <w:basedOn w:val="DefaultParagraphFont"/>
    <w:link w:val="Heading4"/>
    <w:rsid w:val="00137D26"/>
    <w:rPr>
      <w:rFonts w:eastAsia="MS Mincho" w:cs="Times New Roman"/>
      <w:bCs/>
      <w:color w:val="0083C1" w:themeColor="background1"/>
      <w:sz w:val="36"/>
      <w:szCs w:val="36"/>
      <w:lang w:val="en-GB" w:eastAsia="ja-JP"/>
    </w:rPr>
  </w:style>
  <w:style w:type="character" w:customStyle="1" w:styleId="Heading5Char">
    <w:name w:val="Heading 5 Char"/>
    <w:basedOn w:val="DefaultParagraphFont"/>
    <w:link w:val="Heading5"/>
    <w:rsid w:val="00801174"/>
    <w:rPr>
      <w:rFonts w:ascii="Arial" w:eastAsia="MS Mincho" w:hAnsi="Arial" w:cs="Times New Roman"/>
      <w:b/>
      <w:bCs/>
      <w:i/>
      <w:iCs/>
      <w:sz w:val="26"/>
      <w:szCs w:val="26"/>
      <w:lang w:val="en-GB"/>
    </w:rPr>
  </w:style>
  <w:style w:type="character" w:customStyle="1" w:styleId="Heading6Char">
    <w:name w:val="Heading 6 Char"/>
    <w:basedOn w:val="DefaultParagraphFont"/>
    <w:link w:val="Heading6"/>
    <w:rsid w:val="00801174"/>
    <w:rPr>
      <w:rFonts w:ascii="Arial" w:eastAsia="MS Mincho" w:hAnsi="Arial" w:cs="Times New Roman"/>
      <w:b/>
      <w:bCs/>
      <w:lang w:val="en-GB"/>
    </w:rPr>
  </w:style>
  <w:style w:type="character" w:customStyle="1" w:styleId="Heading7Char">
    <w:name w:val="Heading 7 Char"/>
    <w:basedOn w:val="DefaultParagraphFont"/>
    <w:link w:val="Heading7"/>
    <w:rsid w:val="00801174"/>
    <w:rPr>
      <w:rFonts w:ascii="Arial" w:eastAsia="MS Mincho" w:hAnsi="Arial" w:cs="Times New Roman"/>
      <w:sz w:val="20"/>
      <w:szCs w:val="24"/>
      <w:lang w:val="en-GB"/>
    </w:rPr>
  </w:style>
  <w:style w:type="character" w:customStyle="1" w:styleId="Heading8Char">
    <w:name w:val="Heading 8 Char"/>
    <w:basedOn w:val="DefaultParagraphFont"/>
    <w:link w:val="Heading8"/>
    <w:rsid w:val="00801174"/>
    <w:rPr>
      <w:rFonts w:ascii="Arial" w:eastAsia="MS Mincho" w:hAnsi="Arial" w:cs="Times New Roman"/>
      <w:i/>
      <w:iCs/>
      <w:sz w:val="20"/>
      <w:szCs w:val="24"/>
      <w:lang w:val="en-GB"/>
    </w:rPr>
  </w:style>
  <w:style w:type="character" w:customStyle="1" w:styleId="Heading9Char">
    <w:name w:val="Heading 9 Char"/>
    <w:basedOn w:val="DefaultParagraphFont"/>
    <w:link w:val="Heading9"/>
    <w:rsid w:val="00801174"/>
    <w:rPr>
      <w:rFonts w:ascii="Arial" w:eastAsia="MS Mincho" w:hAnsi="Arial" w:cs="Times New Roman"/>
      <w:lang w:val="en-GB"/>
    </w:rPr>
  </w:style>
  <w:style w:type="paragraph" w:customStyle="1" w:styleId="Headline">
    <w:name w:val="Headline"/>
    <w:basedOn w:val="Heading1"/>
    <w:link w:val="HeadlineChar"/>
    <w:qFormat/>
    <w:rsid w:val="006A5B5D"/>
  </w:style>
  <w:style w:type="paragraph" w:customStyle="1" w:styleId="Introduction">
    <w:name w:val="Introduction"/>
    <w:basedOn w:val="Heading2"/>
    <w:link w:val="IntroductionChar"/>
    <w:qFormat/>
    <w:rsid w:val="008A772E"/>
    <w:pPr>
      <w:spacing w:after="240"/>
    </w:pPr>
  </w:style>
  <w:style w:type="paragraph" w:customStyle="1" w:styleId="Subheading">
    <w:name w:val="Subheading"/>
    <w:basedOn w:val="Heading4"/>
    <w:link w:val="SubheadingChar"/>
    <w:qFormat/>
    <w:rsid w:val="006A5B5D"/>
    <w:pPr>
      <w:spacing w:after="240" w:line="276" w:lineRule="auto"/>
    </w:pPr>
    <w:rPr>
      <w:sz w:val="24"/>
      <w:szCs w:val="24"/>
    </w:rPr>
  </w:style>
  <w:style w:type="character" w:customStyle="1" w:styleId="IntroductionChar">
    <w:name w:val="Introduction Char"/>
    <w:basedOn w:val="Heading2Char"/>
    <w:link w:val="Introduction"/>
    <w:rsid w:val="008A772E"/>
    <w:rPr>
      <w:rFonts w:eastAsia="MS Mincho" w:cs="Times New Roman"/>
      <w:bCs/>
      <w:iCs/>
      <w:color w:val="5F5F5F" w:themeColor="background2"/>
      <w:sz w:val="28"/>
      <w:szCs w:val="28"/>
      <w:lang w:val="en-GB" w:eastAsia="ja-JP"/>
    </w:rPr>
  </w:style>
  <w:style w:type="paragraph" w:customStyle="1" w:styleId="BodyCopy">
    <w:name w:val="Body Copy"/>
    <w:basedOn w:val="Normal"/>
    <w:link w:val="BodyCopyChar"/>
    <w:qFormat/>
    <w:rsid w:val="006A5B5D"/>
    <w:pPr>
      <w:spacing w:before="120" w:after="120"/>
    </w:pPr>
  </w:style>
  <w:style w:type="character" w:customStyle="1" w:styleId="SubheadingChar">
    <w:name w:val="Subheading Char"/>
    <w:basedOn w:val="Heading4Char"/>
    <w:link w:val="Subheading"/>
    <w:rsid w:val="006A5B5D"/>
    <w:rPr>
      <w:rFonts w:eastAsia="MS Mincho" w:cs="Times New Roman"/>
      <w:bCs/>
      <w:color w:val="0083C1" w:themeColor="background1"/>
      <w:sz w:val="24"/>
      <w:szCs w:val="24"/>
      <w:lang w:val="en-GB" w:eastAsia="ja-JP"/>
    </w:rPr>
  </w:style>
  <w:style w:type="character" w:customStyle="1" w:styleId="BodyCopyChar">
    <w:name w:val="Body Copy Char"/>
    <w:basedOn w:val="DefaultParagraphFont"/>
    <w:link w:val="BodyCopy"/>
    <w:rsid w:val="006A5B5D"/>
    <w:rPr>
      <w:lang w:eastAsia="ja-JP"/>
    </w:rPr>
  </w:style>
  <w:style w:type="character" w:customStyle="1" w:styleId="HeadlineChar">
    <w:name w:val="Headline Char"/>
    <w:basedOn w:val="Heading1Char"/>
    <w:link w:val="Headline"/>
    <w:rsid w:val="006A5B5D"/>
    <w:rPr>
      <w:rFonts w:eastAsia="MS Mincho" w:cs="Times New Roman"/>
      <w:iCs/>
      <w:color w:val="0083C1" w:themeColor="background1"/>
      <w:kern w:val="32"/>
      <w:sz w:val="36"/>
      <w:szCs w:val="28"/>
      <w:lang w:val="en-GB" w:eastAsia="ja-JP"/>
    </w:rPr>
  </w:style>
  <w:style w:type="character" w:customStyle="1" w:styleId="UnresolvedMention">
    <w:name w:val="Unresolved Mention"/>
    <w:basedOn w:val="DefaultParagraphFont"/>
    <w:uiPriority w:val="99"/>
    <w:semiHidden/>
    <w:unhideWhenUsed/>
    <w:rsid w:val="004A0654"/>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6529"/>
    <w:rPr>
      <w:lang w:eastAsia="ja-JP"/>
    </w:rPr>
  </w:style>
  <w:style w:type="paragraph" w:styleId="Heading1">
    <w:name w:val="heading 1"/>
    <w:basedOn w:val="Normal"/>
    <w:next w:val="Normal"/>
    <w:link w:val="Heading1Char"/>
    <w:autoRedefine/>
    <w:rsid w:val="006A5B5D"/>
    <w:pPr>
      <w:keepNext/>
      <w:spacing w:before="240" w:after="240" w:line="240" w:lineRule="auto"/>
      <w:outlineLvl w:val="0"/>
    </w:pPr>
    <w:rPr>
      <w:rFonts w:eastAsia="MS Mincho" w:cs="Times New Roman"/>
      <w:iCs/>
      <w:color w:val="0083C1" w:themeColor="background1"/>
      <w:kern w:val="32"/>
      <w:sz w:val="36"/>
      <w:szCs w:val="28"/>
      <w:lang w:val="en-GB"/>
    </w:rPr>
  </w:style>
  <w:style w:type="paragraph" w:styleId="Heading2">
    <w:name w:val="heading 2"/>
    <w:basedOn w:val="Normal"/>
    <w:next w:val="Normal"/>
    <w:link w:val="Heading2Char"/>
    <w:rsid w:val="00391849"/>
    <w:pPr>
      <w:keepNext/>
      <w:spacing w:before="240" w:after="60"/>
      <w:outlineLvl w:val="1"/>
    </w:pPr>
    <w:rPr>
      <w:rFonts w:eastAsia="MS Mincho" w:cs="Times New Roman"/>
      <w:bCs/>
      <w:iCs/>
      <w:color w:val="5F5F5F" w:themeColor="background2"/>
      <w:sz w:val="28"/>
      <w:szCs w:val="28"/>
      <w:lang w:val="en-GB"/>
    </w:rPr>
  </w:style>
  <w:style w:type="paragraph" w:styleId="Heading3">
    <w:name w:val="heading 3"/>
    <w:basedOn w:val="Normal"/>
    <w:next w:val="Normal"/>
    <w:link w:val="Heading3Char"/>
    <w:rsid w:val="00801174"/>
    <w:pPr>
      <w:keepNext/>
      <w:numPr>
        <w:ilvl w:val="2"/>
        <w:numId w:val="23"/>
      </w:numPr>
      <w:spacing w:before="240" w:after="60" w:line="240" w:lineRule="auto"/>
      <w:outlineLvl w:val="2"/>
    </w:pPr>
    <w:rPr>
      <w:rFonts w:eastAsia="MS Mincho" w:cs="Times New Roman"/>
      <w:bCs/>
      <w:color w:val="5F5F5F" w:themeColor="background2"/>
      <w:sz w:val="32"/>
      <w:szCs w:val="26"/>
      <w:lang w:val="en-GB"/>
    </w:rPr>
  </w:style>
  <w:style w:type="paragraph" w:styleId="Heading4">
    <w:name w:val="heading 4"/>
    <w:basedOn w:val="Normal"/>
    <w:next w:val="Normal"/>
    <w:link w:val="Heading4Char"/>
    <w:qFormat/>
    <w:rsid w:val="00137D26"/>
    <w:pPr>
      <w:keepNext/>
      <w:spacing w:before="240" w:after="60" w:line="240" w:lineRule="auto"/>
      <w:outlineLvl w:val="3"/>
    </w:pPr>
    <w:rPr>
      <w:rFonts w:eastAsia="MS Mincho" w:cs="Times New Roman"/>
      <w:bCs/>
      <w:color w:val="0083C1" w:themeColor="background1"/>
      <w:sz w:val="36"/>
      <w:szCs w:val="36"/>
      <w:lang w:val="en-GB"/>
    </w:rPr>
  </w:style>
  <w:style w:type="paragraph" w:styleId="Heading5">
    <w:name w:val="heading 5"/>
    <w:basedOn w:val="Normal"/>
    <w:next w:val="Normal"/>
    <w:link w:val="Heading5Char"/>
    <w:qFormat/>
    <w:rsid w:val="00801174"/>
    <w:pPr>
      <w:numPr>
        <w:ilvl w:val="4"/>
        <w:numId w:val="23"/>
      </w:numPr>
      <w:spacing w:before="240" w:after="60" w:line="240" w:lineRule="auto"/>
      <w:outlineLvl w:val="4"/>
    </w:pPr>
    <w:rPr>
      <w:rFonts w:ascii="Arial" w:eastAsia="MS Mincho" w:hAnsi="Arial" w:cs="Times New Roman"/>
      <w:b/>
      <w:bCs/>
      <w:i/>
      <w:iCs/>
      <w:sz w:val="26"/>
      <w:szCs w:val="26"/>
      <w:lang w:val="en-GB"/>
    </w:rPr>
  </w:style>
  <w:style w:type="paragraph" w:styleId="Heading6">
    <w:name w:val="heading 6"/>
    <w:basedOn w:val="Normal"/>
    <w:next w:val="Normal"/>
    <w:link w:val="Heading6Char"/>
    <w:qFormat/>
    <w:rsid w:val="00801174"/>
    <w:pPr>
      <w:numPr>
        <w:ilvl w:val="5"/>
        <w:numId w:val="23"/>
      </w:numPr>
      <w:spacing w:before="240" w:after="60" w:line="240" w:lineRule="auto"/>
      <w:outlineLvl w:val="5"/>
    </w:pPr>
    <w:rPr>
      <w:rFonts w:ascii="Arial" w:eastAsia="MS Mincho" w:hAnsi="Arial" w:cs="Times New Roman"/>
      <w:b/>
      <w:bCs/>
      <w:lang w:val="en-GB"/>
    </w:rPr>
  </w:style>
  <w:style w:type="paragraph" w:styleId="Heading7">
    <w:name w:val="heading 7"/>
    <w:basedOn w:val="Normal"/>
    <w:next w:val="Normal"/>
    <w:link w:val="Heading7Char"/>
    <w:qFormat/>
    <w:rsid w:val="00801174"/>
    <w:pPr>
      <w:numPr>
        <w:ilvl w:val="6"/>
        <w:numId w:val="23"/>
      </w:numPr>
      <w:spacing w:before="240" w:after="60" w:line="240" w:lineRule="auto"/>
      <w:outlineLvl w:val="6"/>
    </w:pPr>
    <w:rPr>
      <w:rFonts w:ascii="Arial" w:eastAsia="MS Mincho" w:hAnsi="Arial" w:cs="Times New Roman"/>
      <w:sz w:val="20"/>
      <w:szCs w:val="24"/>
      <w:lang w:val="en-GB"/>
    </w:rPr>
  </w:style>
  <w:style w:type="paragraph" w:styleId="Heading8">
    <w:name w:val="heading 8"/>
    <w:basedOn w:val="Normal"/>
    <w:next w:val="Normal"/>
    <w:link w:val="Heading8Char"/>
    <w:qFormat/>
    <w:rsid w:val="00801174"/>
    <w:pPr>
      <w:numPr>
        <w:ilvl w:val="7"/>
        <w:numId w:val="23"/>
      </w:numPr>
      <w:spacing w:before="240" w:after="60" w:line="240" w:lineRule="auto"/>
      <w:outlineLvl w:val="7"/>
    </w:pPr>
    <w:rPr>
      <w:rFonts w:ascii="Arial" w:eastAsia="MS Mincho" w:hAnsi="Arial" w:cs="Times New Roman"/>
      <w:i/>
      <w:iCs/>
      <w:sz w:val="20"/>
      <w:szCs w:val="24"/>
      <w:lang w:val="en-GB"/>
    </w:rPr>
  </w:style>
  <w:style w:type="paragraph" w:styleId="Heading9">
    <w:name w:val="heading 9"/>
    <w:basedOn w:val="Normal"/>
    <w:next w:val="Normal"/>
    <w:link w:val="Heading9Char"/>
    <w:qFormat/>
    <w:rsid w:val="00801174"/>
    <w:pPr>
      <w:numPr>
        <w:ilvl w:val="8"/>
        <w:numId w:val="4"/>
      </w:numPr>
      <w:spacing w:before="240" w:after="60" w:line="240" w:lineRule="auto"/>
      <w:outlineLvl w:val="8"/>
    </w:pPr>
    <w:rPr>
      <w:rFonts w:ascii="Arial" w:eastAsia="MS Mincho" w:hAnsi="Arial"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174"/>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801174"/>
    <w:rPr>
      <w:rFonts w:ascii="Arial Black" w:hAnsi="Arial Black" w:hint="default"/>
      <w:i w:val="0"/>
      <w:iCs w:val="0"/>
      <w:sz w:val="18"/>
    </w:rPr>
  </w:style>
  <w:style w:type="character" w:customStyle="1" w:styleId="Heading1Char">
    <w:name w:val="Heading 1 Char"/>
    <w:basedOn w:val="DefaultParagraphFont"/>
    <w:link w:val="Heading1"/>
    <w:rsid w:val="006A5B5D"/>
    <w:rPr>
      <w:rFonts w:eastAsia="MS Mincho" w:cs="Times New Roman"/>
      <w:iCs/>
      <w:color w:val="0083C1" w:themeColor="background1"/>
      <w:kern w:val="32"/>
      <w:sz w:val="36"/>
      <w:szCs w:val="28"/>
      <w:lang w:val="en-GB" w:eastAsia="ja-JP"/>
    </w:rPr>
  </w:style>
  <w:style w:type="character" w:customStyle="1" w:styleId="Heading2Char">
    <w:name w:val="Heading 2 Char"/>
    <w:basedOn w:val="DefaultParagraphFont"/>
    <w:link w:val="Heading2"/>
    <w:rsid w:val="00391849"/>
    <w:rPr>
      <w:rFonts w:eastAsia="MS Mincho" w:cs="Times New Roman"/>
      <w:bCs/>
      <w:iCs/>
      <w:color w:val="5F5F5F" w:themeColor="background2"/>
      <w:sz w:val="28"/>
      <w:szCs w:val="28"/>
      <w:lang w:val="en-GB" w:eastAsia="ja-JP"/>
    </w:rPr>
  </w:style>
  <w:style w:type="character" w:customStyle="1" w:styleId="Heading3Char">
    <w:name w:val="Heading 3 Char"/>
    <w:basedOn w:val="DefaultParagraphFont"/>
    <w:link w:val="Heading3"/>
    <w:rsid w:val="00801174"/>
    <w:rPr>
      <w:rFonts w:eastAsia="MS Mincho" w:cs="Times New Roman"/>
      <w:bCs/>
      <w:color w:val="5F5F5F" w:themeColor="background2"/>
      <w:sz w:val="32"/>
      <w:szCs w:val="26"/>
      <w:lang w:val="en-GB"/>
    </w:rPr>
  </w:style>
  <w:style w:type="character" w:customStyle="1" w:styleId="Heading4Char">
    <w:name w:val="Heading 4 Char"/>
    <w:basedOn w:val="DefaultParagraphFont"/>
    <w:link w:val="Heading4"/>
    <w:rsid w:val="00137D26"/>
    <w:rPr>
      <w:rFonts w:eastAsia="MS Mincho" w:cs="Times New Roman"/>
      <w:bCs/>
      <w:color w:val="0083C1" w:themeColor="background1"/>
      <w:sz w:val="36"/>
      <w:szCs w:val="36"/>
      <w:lang w:val="en-GB" w:eastAsia="ja-JP"/>
    </w:rPr>
  </w:style>
  <w:style w:type="character" w:customStyle="1" w:styleId="Heading5Char">
    <w:name w:val="Heading 5 Char"/>
    <w:basedOn w:val="DefaultParagraphFont"/>
    <w:link w:val="Heading5"/>
    <w:rsid w:val="00801174"/>
    <w:rPr>
      <w:rFonts w:ascii="Arial" w:eastAsia="MS Mincho" w:hAnsi="Arial" w:cs="Times New Roman"/>
      <w:b/>
      <w:bCs/>
      <w:i/>
      <w:iCs/>
      <w:sz w:val="26"/>
      <w:szCs w:val="26"/>
      <w:lang w:val="en-GB"/>
    </w:rPr>
  </w:style>
  <w:style w:type="character" w:customStyle="1" w:styleId="Heading6Char">
    <w:name w:val="Heading 6 Char"/>
    <w:basedOn w:val="DefaultParagraphFont"/>
    <w:link w:val="Heading6"/>
    <w:rsid w:val="00801174"/>
    <w:rPr>
      <w:rFonts w:ascii="Arial" w:eastAsia="MS Mincho" w:hAnsi="Arial" w:cs="Times New Roman"/>
      <w:b/>
      <w:bCs/>
      <w:lang w:val="en-GB"/>
    </w:rPr>
  </w:style>
  <w:style w:type="character" w:customStyle="1" w:styleId="Heading7Char">
    <w:name w:val="Heading 7 Char"/>
    <w:basedOn w:val="DefaultParagraphFont"/>
    <w:link w:val="Heading7"/>
    <w:rsid w:val="00801174"/>
    <w:rPr>
      <w:rFonts w:ascii="Arial" w:eastAsia="MS Mincho" w:hAnsi="Arial" w:cs="Times New Roman"/>
      <w:sz w:val="20"/>
      <w:szCs w:val="24"/>
      <w:lang w:val="en-GB"/>
    </w:rPr>
  </w:style>
  <w:style w:type="character" w:customStyle="1" w:styleId="Heading8Char">
    <w:name w:val="Heading 8 Char"/>
    <w:basedOn w:val="DefaultParagraphFont"/>
    <w:link w:val="Heading8"/>
    <w:rsid w:val="00801174"/>
    <w:rPr>
      <w:rFonts w:ascii="Arial" w:eastAsia="MS Mincho" w:hAnsi="Arial" w:cs="Times New Roman"/>
      <w:i/>
      <w:iCs/>
      <w:sz w:val="20"/>
      <w:szCs w:val="24"/>
      <w:lang w:val="en-GB"/>
    </w:rPr>
  </w:style>
  <w:style w:type="character" w:customStyle="1" w:styleId="Heading9Char">
    <w:name w:val="Heading 9 Char"/>
    <w:basedOn w:val="DefaultParagraphFont"/>
    <w:link w:val="Heading9"/>
    <w:rsid w:val="00801174"/>
    <w:rPr>
      <w:rFonts w:ascii="Arial" w:eastAsia="MS Mincho" w:hAnsi="Arial" w:cs="Times New Roman"/>
      <w:lang w:val="en-GB"/>
    </w:rPr>
  </w:style>
  <w:style w:type="paragraph" w:customStyle="1" w:styleId="Headline">
    <w:name w:val="Headline"/>
    <w:basedOn w:val="Heading1"/>
    <w:link w:val="HeadlineChar"/>
    <w:qFormat/>
    <w:rsid w:val="006A5B5D"/>
  </w:style>
  <w:style w:type="paragraph" w:customStyle="1" w:styleId="Introduction">
    <w:name w:val="Introduction"/>
    <w:basedOn w:val="Heading2"/>
    <w:link w:val="IntroductionChar"/>
    <w:qFormat/>
    <w:rsid w:val="008A772E"/>
    <w:pPr>
      <w:spacing w:after="240"/>
    </w:pPr>
  </w:style>
  <w:style w:type="paragraph" w:customStyle="1" w:styleId="Subheading">
    <w:name w:val="Subheading"/>
    <w:basedOn w:val="Heading4"/>
    <w:link w:val="SubheadingChar"/>
    <w:qFormat/>
    <w:rsid w:val="006A5B5D"/>
    <w:pPr>
      <w:spacing w:after="240" w:line="276" w:lineRule="auto"/>
    </w:pPr>
    <w:rPr>
      <w:sz w:val="24"/>
      <w:szCs w:val="24"/>
    </w:rPr>
  </w:style>
  <w:style w:type="character" w:customStyle="1" w:styleId="IntroductionChar">
    <w:name w:val="Introduction Char"/>
    <w:basedOn w:val="Heading2Char"/>
    <w:link w:val="Introduction"/>
    <w:rsid w:val="008A772E"/>
    <w:rPr>
      <w:rFonts w:eastAsia="MS Mincho" w:cs="Times New Roman"/>
      <w:bCs/>
      <w:iCs/>
      <w:color w:val="5F5F5F" w:themeColor="background2"/>
      <w:sz w:val="28"/>
      <w:szCs w:val="28"/>
      <w:lang w:val="en-GB" w:eastAsia="ja-JP"/>
    </w:rPr>
  </w:style>
  <w:style w:type="paragraph" w:customStyle="1" w:styleId="BodyCopy">
    <w:name w:val="Body Copy"/>
    <w:basedOn w:val="Normal"/>
    <w:link w:val="BodyCopyChar"/>
    <w:qFormat/>
    <w:rsid w:val="006A5B5D"/>
    <w:pPr>
      <w:spacing w:before="120" w:after="120"/>
    </w:pPr>
  </w:style>
  <w:style w:type="character" w:customStyle="1" w:styleId="SubheadingChar">
    <w:name w:val="Subheading Char"/>
    <w:basedOn w:val="Heading4Char"/>
    <w:link w:val="Subheading"/>
    <w:rsid w:val="006A5B5D"/>
    <w:rPr>
      <w:rFonts w:eastAsia="MS Mincho" w:cs="Times New Roman"/>
      <w:bCs/>
      <w:color w:val="0083C1" w:themeColor="background1"/>
      <w:sz w:val="24"/>
      <w:szCs w:val="24"/>
      <w:lang w:val="en-GB" w:eastAsia="ja-JP"/>
    </w:rPr>
  </w:style>
  <w:style w:type="character" w:customStyle="1" w:styleId="BodyCopyChar">
    <w:name w:val="Body Copy Char"/>
    <w:basedOn w:val="DefaultParagraphFont"/>
    <w:link w:val="BodyCopy"/>
    <w:rsid w:val="006A5B5D"/>
    <w:rPr>
      <w:lang w:eastAsia="ja-JP"/>
    </w:rPr>
  </w:style>
  <w:style w:type="character" w:customStyle="1" w:styleId="HeadlineChar">
    <w:name w:val="Headline Char"/>
    <w:basedOn w:val="Heading1Char"/>
    <w:link w:val="Headline"/>
    <w:rsid w:val="006A5B5D"/>
    <w:rPr>
      <w:rFonts w:eastAsia="MS Mincho" w:cs="Times New Roman"/>
      <w:iCs/>
      <w:color w:val="0083C1" w:themeColor="background1"/>
      <w:kern w:val="32"/>
      <w:sz w:val="36"/>
      <w:szCs w:val="28"/>
      <w:lang w:val="en-GB" w:eastAsia="ja-JP"/>
    </w:rPr>
  </w:style>
  <w:style w:type="character" w:customStyle="1" w:styleId="UnresolvedMention">
    <w:name w:val="Unresolved Mention"/>
    <w:basedOn w:val="DefaultParagraphFont"/>
    <w:uiPriority w:val="99"/>
    <w:semiHidden/>
    <w:unhideWhenUsed/>
    <w:rsid w:val="004A065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2621010">
      <w:bodyDiv w:val="1"/>
      <w:marLeft w:val="0"/>
      <w:marRight w:val="0"/>
      <w:marTop w:val="0"/>
      <w:marBottom w:val="0"/>
      <w:divBdr>
        <w:top w:val="none" w:sz="0" w:space="0" w:color="auto"/>
        <w:left w:val="none" w:sz="0" w:space="0" w:color="auto"/>
        <w:bottom w:val="none" w:sz="0" w:space="0" w:color="auto"/>
        <w:right w:val="none" w:sz="0" w:space="0" w:color="auto"/>
      </w:divBdr>
    </w:div>
    <w:div w:id="1694378381">
      <w:bodyDiv w:val="1"/>
      <w:marLeft w:val="0"/>
      <w:marRight w:val="0"/>
      <w:marTop w:val="0"/>
      <w:marBottom w:val="0"/>
      <w:divBdr>
        <w:top w:val="none" w:sz="0" w:space="0" w:color="auto"/>
        <w:left w:val="none" w:sz="0" w:space="0" w:color="auto"/>
        <w:bottom w:val="none" w:sz="0" w:space="0" w:color="auto"/>
        <w:right w:val="none" w:sz="0" w:space="0" w:color="auto"/>
      </w:divBdr>
    </w:div>
    <w:div w:id="1739400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daikin.com/csr/information/influence/index.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daikin.com/csr/information/influence/daikin_policy-en.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peeglobal.org/refrigerants/the-gapometer-faq/"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Daikin-News@sheremarketing.co.uk"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hyperlink" Target="http://www.daikin.eu" TargetMode="External"/><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Custom 6">
      <a:dk1>
        <a:srgbClr val="FFFFFF"/>
      </a:dk1>
      <a:lt1>
        <a:srgbClr val="0083C1"/>
      </a:lt1>
      <a:dk2>
        <a:srgbClr val="2D2D2F"/>
      </a:dk2>
      <a:lt2>
        <a:srgbClr val="5F5F5F"/>
      </a:lt2>
      <a:accent1>
        <a:srgbClr val="00CCFF"/>
      </a:accent1>
      <a:accent2>
        <a:srgbClr val="FFC000"/>
      </a:accent2>
      <a:accent3>
        <a:srgbClr val="E96E1F"/>
      </a:accent3>
      <a:accent4>
        <a:srgbClr val="C00000"/>
      </a:accent4>
      <a:accent5>
        <a:srgbClr val="7030A0"/>
      </a:accent5>
      <a:accent6>
        <a:srgbClr val="00B050"/>
      </a:accent6>
      <a:hlink>
        <a:srgbClr val="0083C1"/>
      </a:hlink>
      <a:folHlink>
        <a:srgbClr val="40C1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91A134-FC0F-457D-B7B7-6262143FC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5</Pages>
  <Words>924</Words>
  <Characters>5272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DENV release template</vt:lpstr>
    </vt:vector>
  </TitlesOfParts>
  <Company>Daikin Europe NV</Company>
  <LinksUpToDate>false</LinksUpToDate>
  <CharactersWithSpaces>6184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DENV release template</dc:title>
  <dc:creator>Gill De Bruyne</dc:creator>
  <cp:lastModifiedBy>Gill De Bruyne</cp:lastModifiedBy>
  <cp:revision>8</cp:revision>
  <cp:lastPrinted>2016-05-31T11:31:00Z</cp:lastPrinted>
  <dcterms:created xsi:type="dcterms:W3CDTF">2018-03-12T12:15:00Z</dcterms:created>
  <dcterms:modified xsi:type="dcterms:W3CDTF">2018-03-12T16:14:00Z</dcterms:modified>
</cp:coreProperties>
</file>